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F" w:rsidRDefault="00C61A96">
      <w:pPr>
        <w:pStyle w:val="a4"/>
        <w:jc w:val="center"/>
        <w:rPr>
          <w:sz w:val="28"/>
          <w:szCs w:val="28"/>
        </w:rPr>
      </w:pPr>
      <w:r w:rsidRPr="00C61A96">
        <w:rPr>
          <w:b/>
          <w:bCs/>
          <w:noProof/>
          <w:sz w:val="28"/>
          <w:szCs w:val="28"/>
        </w:rPr>
        <w:drawing>
          <wp:inline distT="0" distB="0" distL="0" distR="0">
            <wp:extent cx="5534025" cy="1144270"/>
            <wp:effectExtent l="0" t="0" r="0" b="0"/>
            <wp:docPr id="2" name="Рисунок 2" descr="C:\Users\SMVALE~1\AppData\Local\Temp\7zO0135F668\Логотип международной Четаевской конференции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VALE~1\AppData\Local\Temp\7zO0135F668\Логотип международной Четаевской конференции 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64">
        <w:rPr>
          <w:b/>
          <w:bCs/>
          <w:sz w:val="28"/>
          <w:szCs w:val="28"/>
        </w:rPr>
        <w:t>И</w:t>
      </w:r>
      <w:r w:rsidR="00286F6C">
        <w:rPr>
          <w:b/>
          <w:bCs/>
          <w:sz w:val="28"/>
          <w:szCs w:val="28"/>
        </w:rPr>
        <w:t>НФОРМАЦИОННОЕ ПИСЬМО</w:t>
      </w:r>
    </w:p>
    <w:p w:rsidR="005A27AF" w:rsidRDefault="005A27AF">
      <w:pPr>
        <w:pStyle w:val="a4"/>
        <w:ind w:firstLine="709"/>
        <w:jc w:val="both"/>
        <w:rPr>
          <w:sz w:val="28"/>
          <w:szCs w:val="28"/>
        </w:rPr>
      </w:pP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АКАДЕМИЯ НАУК РЕСПУБЛИКИ ТАТАРСТАН, </w:t>
      </w:r>
      <w:r>
        <w:rPr>
          <w:bCs/>
          <w:sz w:val="28"/>
          <w:szCs w:val="28"/>
        </w:rPr>
        <w:br/>
        <w:t>КАЗАНСКИЙ НАЦИОНАЛЬНЫЙ ИССЛЕДОВАТЕЛЬСКИЙ ТЕХНИЧЕСКИЙ УНИВЕРСИТЕТ ИМ. А.Н. ТУПОЛЕВА-КАИ</w:t>
      </w:r>
      <w:r>
        <w:rPr>
          <w:sz w:val="28"/>
          <w:szCs w:val="28"/>
        </w:rPr>
        <w:t xml:space="preserve"> (КНИТУ-КАИ) И </w:t>
      </w:r>
      <w:r>
        <w:rPr>
          <w:sz w:val="28"/>
          <w:szCs w:val="28"/>
        </w:rPr>
        <w:br/>
        <w:t xml:space="preserve">КАЗАНСКИЙ (ПРИВОЛЖСКИЙ) ФЕДЕРАЛЬНЫЙ УНИВЕРСИТЕТ (К(П)ФУ) </w:t>
      </w: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участии ведущих научных учреждений и вузов России </w:t>
      </w:r>
    </w:p>
    <w:p w:rsidR="005A27AF" w:rsidRDefault="005A27AF">
      <w:pPr>
        <w:pStyle w:val="a4"/>
        <w:jc w:val="center"/>
        <w:rPr>
          <w:bCs/>
        </w:rPr>
      </w:pP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16-20 июня 2025 года проводят в столице Республики Татарстан г. Казани </w:t>
      </w: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 МЕЖДУНАРОДНУЮ НАУЧНУЮ ЧЕТАЕВСКУЮ КОНФЕРЕНЦИЮ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«АНАЛИТИЧЕСКАЯ МЕХАНИКА, УСТОЙЧИВОСТЬ И УПРАВЛЕНИЕ» </w:t>
      </w:r>
    </w:p>
    <w:p w:rsidR="00FD38DF" w:rsidRDefault="00FD38DF">
      <w:pPr>
        <w:pStyle w:val="a4"/>
        <w:ind w:firstLine="709"/>
        <w:jc w:val="both"/>
        <w:rPr>
          <w:bCs/>
          <w:sz w:val="28"/>
          <w:szCs w:val="28"/>
        </w:rPr>
      </w:pPr>
    </w:p>
    <w:p w:rsidR="005A27AF" w:rsidRDefault="00286F6C">
      <w:pPr>
        <w:spacing w:after="0"/>
        <w:ind w:right="153" w:firstLine="709"/>
        <w:jc w:val="both"/>
      </w:pPr>
      <w:bookmarkStart w:id="0" w:name="__DdeLink__19447_3680485601"/>
      <w:r>
        <w:rPr>
          <w:rFonts w:ascii="Times New Roman" w:hAnsi="Times New Roman"/>
          <w:sz w:val="28"/>
          <w:szCs w:val="28"/>
          <w:lang w:eastAsia="ru-RU"/>
        </w:rPr>
        <w:t>XI Международная конференции «Аналитическая механика, устойчивость и управление»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, прошла в 2017 году и была приурочена</w:t>
      </w:r>
      <w:r w:rsidR="0097008B">
        <w:rPr>
          <w:rFonts w:ascii="Times New Roman" w:hAnsi="Times New Roman"/>
          <w:sz w:val="28"/>
          <w:szCs w:val="28"/>
          <w:lang w:eastAsia="ru-RU"/>
        </w:rPr>
        <w:t xml:space="preserve"> к 115-летию со дня рождения Н.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Об успешных итогах проведения конференции свидетельствует участие множества ученых из семи стран мира, которые за дни работы конференции представили более 280 докладов, посвященных актуальным проблемам устойчивости движения, теории и практики управления сложными динамическими системами. </w:t>
      </w:r>
    </w:p>
    <w:p w:rsidR="005A27AF" w:rsidRDefault="00286F6C">
      <w:pPr>
        <w:spacing w:after="0"/>
        <w:ind w:right="153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 конференции было дано развитие методов А.М. Ляпунова и Н.Г.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их применение в задачах устойчивости, колебаний, управления системами, описываемыми дифференциальными, разностными, функционально-дифференциальными, интегро-дифференциальными и уравнениями в частных производных, в детерминированной и стохастической постановках. </w:t>
      </w:r>
    </w:p>
    <w:p w:rsidR="005A27AF" w:rsidRDefault="00286F6C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Целями проведения Конференции в этом году стали анализ, систематизация и обсуждение современных достижений науки, техники и технологий в области широкого круга проблем, связанных с аналитической и численной механикой и математикой, устойчивостью и управлением, в том числе управлением беспилотными техническими системами, а также применением компьютерных технологий в науке, образовании и управлении производством.</w:t>
      </w:r>
    </w:p>
    <w:p w:rsidR="005A27AF" w:rsidRDefault="00286F6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Традиционно ожидается участие более 300 представителей высших учебных заведений, научных и проектных организаций, инжиниринговых фирм, промышленных предприятий Российской Федерации, ближнего и дальнего зарубежья.</w:t>
      </w:r>
    </w:p>
    <w:p w:rsidR="00C61A96" w:rsidRDefault="00C61A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96" w:rsidRDefault="00C61A96">
      <w:pPr>
        <w:spacing w:after="0"/>
        <w:ind w:firstLine="708"/>
        <w:jc w:val="both"/>
      </w:pPr>
    </w:p>
    <w:p w:rsidR="005A27AF" w:rsidRDefault="00286F6C">
      <w:pPr>
        <w:spacing w:after="0" w:line="240" w:lineRule="auto"/>
        <w:ind w:right="153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Работа конференции планируется в виде пленарных и секционных докладов, а также дискуссий по следующим секциям:</w:t>
      </w:r>
    </w:p>
    <w:p w:rsidR="005A27AF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Аналитическая механика;</w:t>
      </w:r>
    </w:p>
    <w:p w:rsidR="005A27AF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Устойчивость и управление;</w:t>
      </w:r>
    </w:p>
    <w:p w:rsidR="005A27AF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Управление беспилотными техническими системами;</w:t>
      </w:r>
    </w:p>
    <w:p w:rsidR="005A27AF" w:rsidRPr="00A6068C" w:rsidRDefault="00286F6C" w:rsidP="00A6068C">
      <w:pPr>
        <w:numPr>
          <w:ilvl w:val="0"/>
          <w:numId w:val="1"/>
        </w:numPr>
        <w:tabs>
          <w:tab w:val="clear" w:pos="890"/>
        </w:tabs>
        <w:spacing w:after="0" w:line="240" w:lineRule="auto"/>
        <w:ind w:left="709" w:hanging="34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Компьютерные технологии в науке, образовании, управлении производством</w:t>
      </w:r>
      <w:r w:rsidR="00A6068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382C85" w:rsidRDefault="00382C85" w:rsidP="00382C85">
      <w:pPr>
        <w:tabs>
          <w:tab w:val="left" w:pos="709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5A27AF" w:rsidRDefault="00286F6C">
      <w:pPr>
        <w:pStyle w:val="a4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Конференция проводится при поддержке: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науки и высшего образования Российской Федерации;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промышленности и торговли Российской Федерации;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Республики Татарстан;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Российской академии наук;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Российского национального комитета по теоретической и прикладной механике;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Российского национального комитета по автоматическому управлению;</w:t>
      </w:r>
    </w:p>
    <w:p w:rsidR="008535CD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Научного совета по теории и процессам управления при отделении энергетики, машиностроения, механики и процессов управления РАН</w:t>
      </w:r>
      <w:r w:rsidR="008535CD">
        <w:rPr>
          <w:rFonts w:ascii="Times New Roman" w:hAnsi="Times New Roman"/>
          <w:sz w:val="28"/>
          <w:szCs w:val="28"/>
          <w:lang w:eastAsia="ru-RU"/>
        </w:rPr>
        <w:t>;</w:t>
      </w:r>
    </w:p>
    <w:p w:rsidR="005A27AF" w:rsidRDefault="005A27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27AF" w:rsidRDefault="00286F6C" w:rsidP="00B5186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Программный комитет</w:t>
      </w:r>
    </w:p>
    <w:p w:rsidR="007A3687" w:rsidRPr="00D67A2B" w:rsidRDefault="00B518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286F6C">
        <w:rPr>
          <w:rFonts w:ascii="Times New Roman" w:hAnsi="Times New Roman"/>
          <w:b/>
          <w:sz w:val="28"/>
          <w:szCs w:val="28"/>
          <w:lang w:eastAsia="ru-RU"/>
        </w:rPr>
        <w:t>редс</w:t>
      </w:r>
      <w:r w:rsidR="008C34FA">
        <w:rPr>
          <w:rFonts w:ascii="Times New Roman" w:hAnsi="Times New Roman"/>
          <w:b/>
          <w:sz w:val="28"/>
          <w:szCs w:val="28"/>
          <w:lang w:eastAsia="ru-RU"/>
        </w:rPr>
        <w:t>едател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86F6C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Панченко Владислав Яковлевич – вице-президент РАН РФ, председатель ВАК; </w:t>
      </w:r>
      <w:r w:rsidR="00286F6C">
        <w:rPr>
          <w:rFonts w:ascii="Times New Roman" w:hAnsi="Times New Roman"/>
          <w:sz w:val="28"/>
          <w:szCs w:val="28"/>
          <w:lang w:eastAsia="ru-RU"/>
        </w:rPr>
        <w:t>Козлов Валерий Васильевич – академик-секретарь Отдел</w:t>
      </w:r>
      <w:r w:rsidR="00D67A2B">
        <w:rPr>
          <w:rFonts w:ascii="Times New Roman" w:hAnsi="Times New Roman"/>
          <w:sz w:val="28"/>
          <w:szCs w:val="28"/>
          <w:lang w:eastAsia="ru-RU"/>
        </w:rPr>
        <w:t xml:space="preserve">ения математических наук РАН РФ; </w:t>
      </w:r>
      <w:r w:rsidR="00D67A2B" w:rsidRPr="00756B0A">
        <w:rPr>
          <w:rFonts w:ascii="Times New Roman" w:hAnsi="Times New Roman"/>
          <w:sz w:val="28"/>
        </w:rPr>
        <w:t>Васильев Станислав Николаевич – академик РАН РФ.</w:t>
      </w:r>
      <w:r w:rsidR="00286F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27AF" w:rsidRDefault="00B5186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председателей</w:t>
      </w:r>
      <w:r w:rsidR="00286F6C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286F6C">
        <w:rPr>
          <w:rFonts w:ascii="Times New Roman" w:hAnsi="Times New Roman"/>
          <w:sz w:val="28"/>
          <w:szCs w:val="28"/>
          <w:lang w:eastAsia="ru-RU"/>
        </w:rPr>
        <w:t>Дегтярев Геннадий Лукич – профессор кафедры Автоматики и управления КНИТУ-КАИ.</w:t>
      </w:r>
    </w:p>
    <w:p w:rsidR="005A27AF" w:rsidRDefault="00286F6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Члены Программного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: Аникин И.В., Арсланов М.М., Бабушкин В.М., Болотник Н.Н., Булатов М.В., Бычков И.В., 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Горбунов-Посадов М.М., </w:t>
      </w:r>
      <w:r>
        <w:rPr>
          <w:rFonts w:ascii="Times New Roman" w:hAnsi="Times New Roman"/>
          <w:sz w:val="28"/>
          <w:szCs w:val="28"/>
          <w:lang w:eastAsia="ru-RU"/>
        </w:rPr>
        <w:t xml:space="preserve">Гайнутдинов В.Г.,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Галяев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А.А.,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Гараев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К.Г.,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Гречников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Ф.В., Елизаров А.М.,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Емалетдинова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Л.Ю.,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Желязов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Т., Катасёв А.С., Козлов В.Н., Крысько А.В.,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Кучумов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А.Г.,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Лурье С.А., </w:t>
      </w:r>
      <w:r>
        <w:rPr>
          <w:rFonts w:ascii="Times New Roman" w:hAnsi="Times New Roman"/>
          <w:sz w:val="28"/>
          <w:szCs w:val="28"/>
          <w:lang w:eastAsia="ru-RU"/>
        </w:rPr>
        <w:t xml:space="preserve">Маливанов Н.Н., Маликов А.И.,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Мухарлямов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Р.Г., </w:t>
      </w:r>
      <w:r w:rsidR="002E7716">
        <w:rPr>
          <w:rFonts w:ascii="Times New Roman" w:hAnsi="Times New Roman"/>
          <w:sz w:val="28"/>
        </w:rPr>
        <w:t xml:space="preserve">Новиков Д.А.,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Песошин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В.А.,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Петров А.Г., Пешехонов В.Г.,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Поташев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Рапопорт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Л.Б.,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Роднищев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Н.Е., Рубинович Е.Я., </w:t>
      </w:r>
      <w:r w:rsidR="00B350CB">
        <w:rPr>
          <w:rFonts w:ascii="Times New Roman" w:hAnsi="Times New Roman"/>
          <w:sz w:val="28"/>
          <w:szCs w:val="28"/>
          <w:lang w:eastAsia="ru-RU"/>
        </w:rPr>
        <w:t xml:space="preserve">Саченков О.А., </w:t>
      </w:r>
      <w:r>
        <w:rPr>
          <w:rFonts w:ascii="Times New Roman" w:hAnsi="Times New Roman"/>
          <w:sz w:val="28"/>
          <w:szCs w:val="28"/>
          <w:lang w:eastAsia="ru-RU"/>
        </w:rPr>
        <w:t xml:space="preserve">Сидоров И.Н.,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Себряков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Сиразетдинов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Р.Т., Султанов Л.У., Толстоногов А.А., Черноусько Ф.Л., Шахматов Е.В.</w:t>
      </w:r>
    </w:p>
    <w:p w:rsidR="005A27AF" w:rsidRDefault="00286F6C">
      <w:pPr>
        <w:pStyle w:val="4"/>
        <w:jc w:val="both"/>
      </w:pPr>
      <w:r>
        <w:rPr>
          <w:sz w:val="28"/>
          <w:szCs w:val="28"/>
        </w:rPr>
        <w:t xml:space="preserve">Техническая группа: </w:t>
      </w:r>
      <w:r>
        <w:rPr>
          <w:b w:val="0"/>
          <w:sz w:val="28"/>
          <w:szCs w:val="28"/>
        </w:rPr>
        <w:t>Евдокимова Евгения Александровна – начальник отдела организации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учебно-исследовательской работы студентов КНИТУ-КАИ, Валегжанина София Михайловна – инженер управления научно-исследовательских работ; </w:t>
      </w:r>
      <w:proofErr w:type="spellStart"/>
      <w:r>
        <w:rPr>
          <w:b w:val="0"/>
          <w:sz w:val="28"/>
          <w:szCs w:val="28"/>
        </w:rPr>
        <w:t>Салимьянова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Дилара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Радиковна</w:t>
      </w:r>
      <w:proofErr w:type="spellEnd"/>
      <w:r>
        <w:rPr>
          <w:b w:val="0"/>
          <w:sz w:val="28"/>
          <w:szCs w:val="28"/>
        </w:rPr>
        <w:t xml:space="preserve"> – магистрант ИММ КФУ, </w:t>
      </w:r>
      <w:proofErr w:type="spellStart"/>
      <w:r>
        <w:rPr>
          <w:b w:val="0"/>
          <w:sz w:val="28"/>
          <w:szCs w:val="28"/>
        </w:rPr>
        <w:t>м.н.с</w:t>
      </w:r>
      <w:proofErr w:type="spellEnd"/>
      <w:r>
        <w:rPr>
          <w:b w:val="0"/>
          <w:sz w:val="28"/>
          <w:szCs w:val="28"/>
        </w:rPr>
        <w:t>. НИЦ КИ.</w:t>
      </w:r>
    </w:p>
    <w:p w:rsidR="005A27AF" w:rsidRDefault="005A27A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A27AF" w:rsidRDefault="00286F6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комитет</w:t>
      </w:r>
    </w:p>
    <w:p w:rsidR="005A27AF" w:rsidRDefault="00286F6C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Председатель: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>Фазлеева</w:t>
      </w:r>
      <w:proofErr w:type="spellEnd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Лейла </w:t>
      </w:r>
      <w:proofErr w:type="spellStart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>Ринатовна</w:t>
      </w:r>
      <w:proofErr w:type="spellEnd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068C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Заместитель Премьер-министра Республики Татарстан.</w:t>
      </w:r>
    </w:p>
    <w:p w:rsidR="005A27AF" w:rsidRDefault="002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Сопредседатели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: Минниханов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Рифкат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Нургалиевич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Президент Академии наук Р</w:t>
      </w:r>
      <w:r w:rsidR="007708D2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7708D2">
        <w:rPr>
          <w:rFonts w:ascii="Times New Roman" w:hAnsi="Times New Roman"/>
          <w:sz w:val="28"/>
          <w:szCs w:val="28"/>
          <w:lang w:eastAsia="ru-RU"/>
        </w:rPr>
        <w:t>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96710" w:rsidRDefault="0089671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Охоткин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Кирилл Германович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ректора Казанского национального исследовательского технического университета им. А.Н. Туполева - КАИ; </w:t>
      </w:r>
    </w:p>
    <w:p w:rsidR="005A27AF" w:rsidRDefault="00286F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Сафин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Ленар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Ринатович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ректор Казанского (Приволжского) федерального университета; </w:t>
      </w:r>
    </w:p>
    <w:p w:rsidR="005A27AF" w:rsidRDefault="002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Ахмадиева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Шайха</w:t>
      </w:r>
      <w:r w:rsidR="00DF155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даровна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ректор Казанского государственного института культуры</w:t>
      </w:r>
      <w:r w:rsidR="008535CD">
        <w:rPr>
          <w:rFonts w:ascii="Times New Roman" w:hAnsi="Times New Roman"/>
          <w:sz w:val="28"/>
          <w:szCs w:val="28"/>
          <w:lang w:eastAsia="ru-RU"/>
        </w:rPr>
        <w:t>;</w:t>
      </w:r>
    </w:p>
    <w:p w:rsidR="008535CD" w:rsidRDefault="008535CD">
      <w:pPr>
        <w:spacing w:after="0" w:line="240" w:lineRule="auto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Новиков Дмитрий Александрович – директор института Проблем управления РАН.</w:t>
      </w:r>
    </w:p>
    <w:p w:rsidR="005A27AF" w:rsidRDefault="00286F6C" w:rsidP="008C3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Члены Организационного комитета: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Абраковнов А.П., </w:t>
      </w:r>
      <w:r>
        <w:rPr>
          <w:rFonts w:ascii="Times New Roman" w:hAnsi="Times New Roman"/>
          <w:sz w:val="28"/>
          <w:szCs w:val="28"/>
          <w:lang w:eastAsia="ru-RU"/>
        </w:rPr>
        <w:t>Аникин И.В., Арсланов М.М., Бабушкин В.М.,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Балоев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А.А.,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B7E">
        <w:rPr>
          <w:rFonts w:ascii="Times New Roman" w:hAnsi="Times New Roman"/>
          <w:sz w:val="28"/>
          <w:szCs w:val="28"/>
          <w:lang w:eastAsia="ru-RU"/>
        </w:rPr>
        <w:t xml:space="preserve">Бородин В.М.,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Валегжанина С.М., Вершинин И.С.,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Гаркушенко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В.И.,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Долженков Н.Н., Иванов Д.В.,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Катасёв А.С., Кривошеев С.В., Лазарева П.А., Маливанов Н.Н., Маликов А.И.,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Маханько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А.А., Никитин А.В.,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Сабитов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Р.А., </w:t>
      </w:r>
      <w:r>
        <w:rPr>
          <w:rFonts w:ascii="Times New Roman" w:hAnsi="Times New Roman"/>
          <w:sz w:val="28"/>
          <w:szCs w:val="28"/>
          <w:lang w:eastAsia="ru-RU"/>
        </w:rPr>
        <w:t>Саченков О.А.,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B7E">
        <w:rPr>
          <w:rFonts w:ascii="Times New Roman" w:hAnsi="Times New Roman"/>
          <w:sz w:val="28"/>
          <w:szCs w:val="28"/>
          <w:lang w:eastAsia="ru-RU"/>
        </w:rPr>
        <w:t xml:space="preserve">Семёнов П.К.,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Сиразетдинов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Р.Т., Старостин Б.А.,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0595">
        <w:rPr>
          <w:rFonts w:ascii="Times New Roman" w:hAnsi="Times New Roman"/>
          <w:sz w:val="28"/>
          <w:szCs w:val="28"/>
          <w:lang w:eastAsia="ru-RU"/>
        </w:rPr>
        <w:t xml:space="preserve">Суркин Н.Р.,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Тазюков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Б.Ф.,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Таюрский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Д.А.,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 Терентьев С.А.,</w:t>
      </w:r>
      <w:r>
        <w:rPr>
          <w:rFonts w:ascii="Times New Roman" w:hAnsi="Times New Roman"/>
          <w:sz w:val="28"/>
          <w:szCs w:val="28"/>
          <w:lang w:eastAsia="ru-RU"/>
        </w:rPr>
        <w:t xml:space="preserve"> Тумаков Д.Н., </w:t>
      </w:r>
      <w:proofErr w:type="spellStart"/>
      <w:r w:rsidR="00981A9D">
        <w:rPr>
          <w:rFonts w:ascii="Times New Roman" w:hAnsi="Times New Roman"/>
          <w:sz w:val="28"/>
          <w:szCs w:val="28"/>
          <w:lang w:eastAsia="ru-RU"/>
        </w:rPr>
        <w:t>Файзутдинов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Р.Н., </w:t>
      </w:r>
      <w:proofErr w:type="spellStart"/>
      <w:r w:rsidR="005554D5">
        <w:rPr>
          <w:rFonts w:ascii="Times New Roman" w:hAnsi="Times New Roman"/>
          <w:sz w:val="28"/>
          <w:szCs w:val="28"/>
          <w:lang w:eastAsia="ru-RU"/>
        </w:rPr>
        <w:t>Хасьянов</w:t>
      </w:r>
      <w:proofErr w:type="spellEnd"/>
      <w:r w:rsidR="005554D5">
        <w:rPr>
          <w:rFonts w:ascii="Times New Roman" w:hAnsi="Times New Roman"/>
          <w:sz w:val="28"/>
          <w:szCs w:val="28"/>
          <w:lang w:eastAsia="ru-RU"/>
        </w:rPr>
        <w:t xml:space="preserve"> А.Ф., </w:t>
      </w:r>
      <w:r>
        <w:rPr>
          <w:rFonts w:ascii="Times New Roman" w:hAnsi="Times New Roman"/>
          <w:sz w:val="28"/>
          <w:szCs w:val="28"/>
          <w:lang w:eastAsia="ru-RU"/>
        </w:rPr>
        <w:t xml:space="preserve">Шабалин Л.П.,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Шлеймович М.П., </w:t>
      </w:r>
      <w:proofErr w:type="spellStart"/>
      <w:r w:rsidR="005554D5">
        <w:rPr>
          <w:rFonts w:ascii="Times New Roman" w:hAnsi="Times New Roman"/>
          <w:sz w:val="28"/>
          <w:szCs w:val="28"/>
          <w:lang w:eastAsia="ru-RU"/>
        </w:rPr>
        <w:t>Якупов</w:t>
      </w:r>
      <w:proofErr w:type="spellEnd"/>
      <w:r w:rsidR="005554D5">
        <w:rPr>
          <w:rFonts w:ascii="Times New Roman" w:hAnsi="Times New Roman"/>
          <w:sz w:val="28"/>
          <w:szCs w:val="28"/>
          <w:lang w:eastAsia="ru-RU"/>
        </w:rPr>
        <w:t xml:space="preserve"> Э.Т.,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И.Джей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Чжан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E1391" w:rsidRDefault="003E1391" w:rsidP="008C3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7AF" w:rsidRDefault="00286F6C">
      <w:pPr>
        <w:tabs>
          <w:tab w:val="left" w:pos="993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Условия и порядок участия</w:t>
      </w:r>
    </w:p>
    <w:p w:rsidR="005A27AF" w:rsidRDefault="00286F6C">
      <w:pPr>
        <w:tabs>
          <w:tab w:val="left" w:pos="993"/>
        </w:tabs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К участию в конференции приглашаются студент</w:t>
      </w:r>
      <w:r w:rsidR="006F36A5">
        <w:rPr>
          <w:rFonts w:ascii="Times New Roman" w:hAnsi="Times New Roman"/>
          <w:sz w:val="28"/>
          <w:szCs w:val="28"/>
          <w:lang w:eastAsia="ru-RU"/>
        </w:rPr>
        <w:t xml:space="preserve">ы всех форм обучения, аспиранты, </w:t>
      </w:r>
      <w:r w:rsidR="007708D2">
        <w:rPr>
          <w:rFonts w:ascii="Times New Roman" w:hAnsi="Times New Roman"/>
          <w:sz w:val="28"/>
          <w:szCs w:val="28"/>
          <w:lang w:eastAsia="ru-RU"/>
        </w:rPr>
        <w:t xml:space="preserve">научно-педагогические работники и все </w:t>
      </w:r>
      <w:r w:rsidR="006F36A5">
        <w:rPr>
          <w:rFonts w:ascii="Times New Roman" w:hAnsi="Times New Roman"/>
          <w:sz w:val="28"/>
          <w:szCs w:val="28"/>
          <w:lang w:eastAsia="ru-RU"/>
        </w:rPr>
        <w:t>желающие.</w:t>
      </w:r>
    </w:p>
    <w:p w:rsidR="008535CD" w:rsidRPr="00505CD0" w:rsidRDefault="00286F6C" w:rsidP="008535CD">
      <w:pPr>
        <w:tabs>
          <w:tab w:val="left" w:pos="993"/>
        </w:tabs>
        <w:spacing w:after="0" w:line="240" w:lineRule="auto"/>
        <w:ind w:firstLine="680"/>
        <w:jc w:val="both"/>
        <w:rPr>
          <w:b/>
          <w:bCs/>
        </w:rPr>
      </w:pPr>
      <w:r w:rsidRPr="00505CD0">
        <w:rPr>
          <w:rFonts w:ascii="Times New Roman" w:hAnsi="Times New Roman"/>
          <w:b/>
          <w:bCs/>
          <w:sz w:val="28"/>
          <w:szCs w:val="28"/>
          <w:lang w:eastAsia="ru-RU"/>
        </w:rPr>
        <w:t>Сроки регистрации</w:t>
      </w:r>
      <w:r w:rsidR="006F36A5" w:rsidRPr="00505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докладчиков</w:t>
      </w:r>
      <w:r w:rsidRPr="00505CD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5A27AF" w:rsidRPr="00505CD0" w:rsidRDefault="008535CD" w:rsidP="008535CD">
      <w:pPr>
        <w:tabs>
          <w:tab w:val="left" w:pos="993"/>
        </w:tabs>
        <w:spacing w:after="0" w:line="240" w:lineRule="auto"/>
        <w:ind w:firstLine="680"/>
        <w:jc w:val="both"/>
        <w:rPr>
          <w:b/>
          <w:bCs/>
        </w:rPr>
      </w:pPr>
      <w:r w:rsidRPr="00505CD0">
        <w:rPr>
          <w:rFonts w:cstheme="minorHAnsi"/>
          <w:b/>
          <w:bCs/>
        </w:rPr>
        <w:t>•</w:t>
      </w:r>
      <w:r w:rsidRPr="00505CD0">
        <w:rPr>
          <w:b/>
          <w:bCs/>
        </w:rPr>
        <w:t xml:space="preserve"> </w:t>
      </w:r>
      <w:r w:rsidR="005A0842" w:rsidRPr="00505CD0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Pr="00505CD0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11D0B" w:rsidRPr="00505CD0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286F6C" w:rsidRPr="00505CD0">
        <w:rPr>
          <w:rFonts w:ascii="Times New Roman" w:hAnsi="Times New Roman"/>
          <w:b/>
          <w:sz w:val="28"/>
          <w:szCs w:val="28"/>
          <w:lang w:eastAsia="ru-RU"/>
        </w:rPr>
        <w:t xml:space="preserve"> 2025 г.</w:t>
      </w:r>
      <w:r w:rsidR="00286F6C" w:rsidRPr="00505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47D" w:rsidRPr="00505CD0">
        <w:rPr>
          <w:rFonts w:ascii="Times New Roman" w:hAnsi="Times New Roman"/>
          <w:sz w:val="28"/>
          <w:szCs w:val="28"/>
          <w:lang w:eastAsia="ru-RU"/>
        </w:rPr>
        <w:t xml:space="preserve">регистрация на сайте платформы </w:t>
      </w:r>
      <w:hyperlink r:id="rId7">
        <w:r w:rsidR="0043447D" w:rsidRPr="00505CD0">
          <w:rPr>
            <w:rStyle w:val="a5"/>
            <w:rFonts w:ascii="Times New Roman" w:hAnsi="Times New Roman"/>
            <w:sz w:val="28"/>
            <w:szCs w:val="28"/>
            <w:lang w:eastAsia="ru-RU"/>
          </w:rPr>
          <w:t>Ломоносов</w:t>
        </w:r>
      </w:hyperlink>
      <w:r w:rsidR="0043447D" w:rsidRPr="00505CD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86F6C" w:rsidRPr="00505CD0">
        <w:rPr>
          <w:rFonts w:ascii="Times New Roman" w:hAnsi="Times New Roman"/>
          <w:sz w:val="28"/>
          <w:szCs w:val="28"/>
          <w:lang w:eastAsia="ru-RU"/>
        </w:rPr>
        <w:t xml:space="preserve">загрузка в личном кабинете материалов статьи объемом не более 4 стр., скан-копии </w:t>
      </w:r>
      <w:r w:rsidR="00286F6C" w:rsidRPr="00505CD0">
        <w:rPr>
          <w:rFonts w:ascii="Times New Roman" w:hAnsi="Times New Roman"/>
          <w:sz w:val="28"/>
          <w:szCs w:val="28"/>
        </w:rPr>
        <w:t xml:space="preserve">экспертного заключения о возможности их опубликования в открытой печати (отсутствие информации, содержащей государственную тайну), а также </w:t>
      </w:r>
      <w:r w:rsidR="00286F6C" w:rsidRPr="00505CD0">
        <w:rPr>
          <w:rFonts w:ascii="Times New Roman" w:hAnsi="Times New Roman"/>
          <w:sz w:val="28"/>
          <w:szCs w:val="28"/>
          <w:lang w:eastAsia="ru-RU"/>
        </w:rPr>
        <w:t>скан-копии</w:t>
      </w:r>
      <w:r w:rsidR="00286F6C" w:rsidRPr="00505CD0">
        <w:rPr>
          <w:rFonts w:ascii="Times New Roman" w:hAnsi="Times New Roman"/>
          <w:sz w:val="28"/>
          <w:szCs w:val="28"/>
        </w:rPr>
        <w:t xml:space="preserve"> заключения комиссии экспортного контроля</w:t>
      </w:r>
      <w:r w:rsidR="003B6454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3B6454" w:rsidRPr="003B6454">
        <w:rPr>
          <w:rFonts w:ascii="Times New Roman" w:hAnsi="Times New Roman"/>
          <w:sz w:val="28"/>
          <w:szCs w:val="28"/>
        </w:rPr>
        <w:t>(</w:t>
      </w:r>
      <w:r w:rsidR="003B6454">
        <w:rPr>
          <w:rFonts w:ascii="Times New Roman" w:hAnsi="Times New Roman"/>
          <w:sz w:val="28"/>
          <w:szCs w:val="28"/>
        </w:rPr>
        <w:t>только для 3-й секции)</w:t>
      </w:r>
      <w:r w:rsidR="00286F6C" w:rsidRPr="00505CD0">
        <w:rPr>
          <w:rFonts w:ascii="Times New Roman" w:hAnsi="Times New Roman"/>
          <w:sz w:val="28"/>
          <w:szCs w:val="28"/>
        </w:rPr>
        <w:t>.</w:t>
      </w:r>
    </w:p>
    <w:p w:rsidR="005A27AF" w:rsidRPr="00505CD0" w:rsidRDefault="008535CD" w:rsidP="008535CD">
      <w:pPr>
        <w:pStyle w:val="a4"/>
        <w:tabs>
          <w:tab w:val="left" w:pos="1134"/>
        </w:tabs>
        <w:ind w:right="91" w:firstLine="714"/>
        <w:jc w:val="both"/>
        <w:rPr>
          <w:sz w:val="28"/>
          <w:szCs w:val="28"/>
        </w:rPr>
      </w:pPr>
      <w:r w:rsidRPr="00505CD0">
        <w:rPr>
          <w:rFonts w:asciiTheme="minorHAnsi" w:hAnsiTheme="minorHAnsi" w:cstheme="minorHAnsi"/>
          <w:b/>
          <w:bCs/>
          <w:sz w:val="22"/>
        </w:rPr>
        <w:t>•</w:t>
      </w:r>
      <w:r w:rsidRPr="00505CD0">
        <w:rPr>
          <w:rFonts w:cstheme="minorHAnsi"/>
          <w:b/>
          <w:bCs/>
        </w:rPr>
        <w:t xml:space="preserve"> </w:t>
      </w:r>
      <w:r w:rsidR="00286F6C" w:rsidRPr="00505CD0">
        <w:rPr>
          <w:b/>
          <w:sz w:val="28"/>
          <w:szCs w:val="28"/>
        </w:rPr>
        <w:t xml:space="preserve">до </w:t>
      </w:r>
      <w:r w:rsidR="00E11D0B" w:rsidRPr="00505CD0">
        <w:rPr>
          <w:b/>
          <w:sz w:val="28"/>
          <w:szCs w:val="28"/>
        </w:rPr>
        <w:t>30</w:t>
      </w:r>
      <w:r w:rsidR="00286F6C" w:rsidRPr="00505CD0">
        <w:rPr>
          <w:b/>
          <w:sz w:val="28"/>
          <w:szCs w:val="28"/>
        </w:rPr>
        <w:t xml:space="preserve"> мая 2025 г.</w:t>
      </w:r>
      <w:r w:rsidR="00286F6C" w:rsidRPr="00505CD0">
        <w:rPr>
          <w:sz w:val="28"/>
          <w:szCs w:val="28"/>
        </w:rPr>
        <w:t xml:space="preserve"> решение о принятии материалов статьи в личном кабинете. </w:t>
      </w:r>
    </w:p>
    <w:p w:rsidR="006F36A5" w:rsidRPr="00505CD0" w:rsidRDefault="006F36A5" w:rsidP="006F36A5">
      <w:pPr>
        <w:pStyle w:val="a4"/>
        <w:tabs>
          <w:tab w:val="left" w:pos="993"/>
        </w:tabs>
        <w:ind w:left="709" w:right="91"/>
        <w:jc w:val="both"/>
        <w:rPr>
          <w:sz w:val="28"/>
          <w:szCs w:val="28"/>
        </w:rPr>
      </w:pPr>
    </w:p>
    <w:p w:rsidR="006F36A5" w:rsidRPr="00505CD0" w:rsidRDefault="006F36A5" w:rsidP="006F36A5">
      <w:pPr>
        <w:pStyle w:val="a4"/>
        <w:tabs>
          <w:tab w:val="left" w:pos="993"/>
        </w:tabs>
        <w:ind w:left="709" w:right="91"/>
        <w:jc w:val="both"/>
        <w:rPr>
          <w:b/>
          <w:bCs/>
          <w:sz w:val="28"/>
          <w:szCs w:val="28"/>
        </w:rPr>
      </w:pPr>
      <w:r w:rsidRPr="00505CD0">
        <w:rPr>
          <w:b/>
          <w:bCs/>
          <w:sz w:val="28"/>
          <w:szCs w:val="28"/>
        </w:rPr>
        <w:t>Срок регистрации участников без доклада:</w:t>
      </w:r>
    </w:p>
    <w:p w:rsidR="006F36A5" w:rsidRPr="00505CD0" w:rsidRDefault="006F36A5" w:rsidP="006F36A5">
      <w:pPr>
        <w:pStyle w:val="a4"/>
        <w:numPr>
          <w:ilvl w:val="0"/>
          <w:numId w:val="3"/>
        </w:numPr>
        <w:tabs>
          <w:tab w:val="left" w:pos="993"/>
        </w:tabs>
        <w:ind w:left="0" w:right="91" w:firstLine="709"/>
        <w:jc w:val="both"/>
        <w:rPr>
          <w:sz w:val="28"/>
          <w:szCs w:val="28"/>
        </w:rPr>
      </w:pPr>
      <w:r w:rsidRPr="00505CD0">
        <w:rPr>
          <w:sz w:val="28"/>
          <w:szCs w:val="28"/>
        </w:rPr>
        <w:t>до</w:t>
      </w:r>
      <w:r w:rsidRPr="00505CD0">
        <w:rPr>
          <w:b/>
          <w:sz w:val="28"/>
          <w:szCs w:val="28"/>
        </w:rPr>
        <w:t xml:space="preserve"> 1 июня 2025 г.</w:t>
      </w:r>
      <w:r w:rsidRPr="00505CD0">
        <w:rPr>
          <w:sz w:val="28"/>
          <w:szCs w:val="28"/>
        </w:rPr>
        <w:t xml:space="preserve">  регистрация на сайте платформы </w:t>
      </w:r>
      <w:hyperlink r:id="rId8">
        <w:r w:rsidRPr="00505CD0">
          <w:rPr>
            <w:rStyle w:val="a5"/>
            <w:sz w:val="28"/>
            <w:szCs w:val="28"/>
          </w:rPr>
          <w:t>Ломоносов</w:t>
        </w:r>
      </w:hyperlink>
    </w:p>
    <w:p w:rsidR="006F36A5" w:rsidRPr="00505CD0" w:rsidRDefault="006F36A5" w:rsidP="006F36A5">
      <w:pPr>
        <w:pStyle w:val="a4"/>
        <w:tabs>
          <w:tab w:val="left" w:pos="993"/>
        </w:tabs>
        <w:ind w:left="709" w:right="91"/>
        <w:jc w:val="both"/>
        <w:rPr>
          <w:sz w:val="28"/>
          <w:szCs w:val="28"/>
        </w:rPr>
      </w:pPr>
    </w:p>
    <w:p w:rsidR="005A27AF" w:rsidRPr="00505CD0" w:rsidRDefault="00286F6C">
      <w:pPr>
        <w:spacing w:after="0" w:line="240" w:lineRule="auto"/>
        <w:ind w:firstLine="680"/>
        <w:rPr>
          <w:sz w:val="28"/>
          <w:szCs w:val="28"/>
        </w:rPr>
      </w:pPr>
      <w:r w:rsidRPr="00505CD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Рабочий язык конференции: </w:t>
      </w:r>
      <w:r w:rsidRPr="00505CD0">
        <w:rPr>
          <w:rFonts w:ascii="Times New Roman" w:hAnsi="Times New Roman"/>
          <w:sz w:val="28"/>
          <w:szCs w:val="28"/>
          <w:lang w:eastAsia="ru-RU"/>
        </w:rPr>
        <w:t>русский.</w:t>
      </w:r>
    </w:p>
    <w:p w:rsidR="005A27AF" w:rsidRPr="00505CD0" w:rsidRDefault="00286F6C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5CD0">
        <w:rPr>
          <w:rFonts w:ascii="Times New Roman" w:hAnsi="Times New Roman"/>
          <w:b/>
          <w:bCs/>
          <w:sz w:val="28"/>
          <w:szCs w:val="28"/>
          <w:lang w:eastAsia="ru-RU"/>
        </w:rPr>
        <w:t>Участие в конференции – бесплатное.</w:t>
      </w:r>
    </w:p>
    <w:p w:rsidR="005064FB" w:rsidRPr="00505CD0" w:rsidRDefault="005064F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64FB" w:rsidRPr="00505CD0" w:rsidRDefault="005064FB" w:rsidP="005064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5CD0">
        <w:rPr>
          <w:rFonts w:ascii="Times New Roman" w:hAnsi="Times New Roman"/>
          <w:b/>
          <w:bCs/>
          <w:sz w:val="28"/>
          <w:szCs w:val="28"/>
          <w:lang w:eastAsia="ru-RU"/>
        </w:rPr>
        <w:t>Пленарные докладчики: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Козлов Владимир Николаевич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Профессор Высшей школы компьютерных технологий и информационных систем </w:t>
      </w:r>
      <w:proofErr w:type="spellStart"/>
      <w:r w:rsidRPr="00505CD0">
        <w:rPr>
          <w:rFonts w:ascii="Times New Roman" w:hAnsi="Times New Roman"/>
          <w:sz w:val="28"/>
          <w:szCs w:val="28"/>
        </w:rPr>
        <w:t>СПбПУ</w:t>
      </w:r>
      <w:proofErr w:type="spellEnd"/>
      <w:r w:rsidRPr="00505CD0">
        <w:rPr>
          <w:rFonts w:ascii="Times New Roman" w:hAnsi="Times New Roman"/>
          <w:sz w:val="28"/>
          <w:szCs w:val="28"/>
        </w:rPr>
        <w:t>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CD0">
        <w:rPr>
          <w:rFonts w:ascii="Times New Roman" w:hAnsi="Times New Roman"/>
          <w:sz w:val="28"/>
          <w:szCs w:val="28"/>
        </w:rPr>
        <w:t>Желязов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Тодор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Атанасов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профессор кафедры Механики Технического университета Софии (Болгария, г. София), к.ф.-м.н.;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Козлов Валерий Васильевич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академик-секретарь Отделения математических наук РАН РФ, профессор, д.ф.-м.н.;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Долженков Николай Николаевич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директор дивизиона беспилотной авиации, генеральный конструктор БАС АО «УЗГА», д.т.н.;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Южаков Александр Анатольевич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Заведующий кафедрой Автоматики и телемеханики ФГАОУ ВО </w:t>
      </w:r>
      <w:r w:rsidR="001F0853" w:rsidRPr="00505CD0">
        <w:rPr>
          <w:rFonts w:ascii="Times New Roman" w:hAnsi="Times New Roman"/>
          <w:sz w:val="28"/>
          <w:szCs w:val="28"/>
        </w:rPr>
        <w:t>«</w:t>
      </w:r>
      <w:r w:rsidRPr="00505CD0">
        <w:rPr>
          <w:rFonts w:ascii="Times New Roman" w:hAnsi="Times New Roman"/>
          <w:sz w:val="28"/>
          <w:szCs w:val="28"/>
        </w:rPr>
        <w:t>ПНИПУ</w:t>
      </w:r>
      <w:r w:rsidR="001F0853" w:rsidRPr="00505CD0">
        <w:rPr>
          <w:rFonts w:ascii="Times New Roman" w:hAnsi="Times New Roman"/>
          <w:sz w:val="28"/>
          <w:szCs w:val="28"/>
        </w:rPr>
        <w:t>»</w:t>
      </w:r>
      <w:r w:rsidRPr="00505CD0">
        <w:rPr>
          <w:rFonts w:ascii="Times New Roman" w:hAnsi="Times New Roman"/>
          <w:sz w:val="28"/>
          <w:szCs w:val="28"/>
        </w:rPr>
        <w:t>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lastRenderedPageBreak/>
        <w:t xml:space="preserve">Шахматов Евгений Владимирович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Заведующий кафедрой Автоматических систем энергетических установок им. академика РАН В.П. </w:t>
      </w:r>
      <w:proofErr w:type="spellStart"/>
      <w:r w:rsidRPr="00505CD0">
        <w:rPr>
          <w:rFonts w:ascii="Times New Roman" w:hAnsi="Times New Roman"/>
          <w:sz w:val="28"/>
          <w:szCs w:val="28"/>
        </w:rPr>
        <w:t>Шорина</w:t>
      </w:r>
      <w:proofErr w:type="spellEnd"/>
      <w:r w:rsidRPr="00505CD0">
        <w:rPr>
          <w:rFonts w:ascii="Times New Roman" w:hAnsi="Times New Roman"/>
          <w:sz w:val="28"/>
          <w:szCs w:val="28"/>
        </w:rPr>
        <w:t>, академик РАН, профессор, д.т.н.;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Васильев Станислав Николаевич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академик РАН РФ, профессор, д.т.н.;</w:t>
      </w:r>
    </w:p>
    <w:p w:rsidR="005064FB" w:rsidRPr="00505CD0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Панченко Владислав Яковлевич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вице-президент РАН РФ, председатель ВАК, д.ф.-м.н.;</w:t>
      </w:r>
    </w:p>
    <w:p w:rsidR="005064FB" w:rsidRDefault="005064F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 xml:space="preserve">Федунов Борис Евгеньевич </w:t>
      </w:r>
      <w:r w:rsidR="001F0853" w:rsidRPr="00505CD0">
        <w:rPr>
          <w:rFonts w:ascii="Times New Roman" w:hAnsi="Times New Roman"/>
          <w:sz w:val="28"/>
          <w:szCs w:val="28"/>
        </w:rPr>
        <w:t>–</w:t>
      </w:r>
      <w:r w:rsidRPr="00505CD0">
        <w:rPr>
          <w:rFonts w:ascii="Times New Roman" w:hAnsi="Times New Roman"/>
          <w:sz w:val="28"/>
          <w:szCs w:val="28"/>
        </w:rPr>
        <w:t xml:space="preserve"> Профессор кафедры Системного проектирования </w:t>
      </w:r>
      <w:proofErr w:type="spellStart"/>
      <w:r w:rsidRPr="00505CD0">
        <w:rPr>
          <w:rFonts w:ascii="Times New Roman" w:hAnsi="Times New Roman"/>
          <w:sz w:val="28"/>
          <w:szCs w:val="28"/>
        </w:rPr>
        <w:t>авиакомплексов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 МАИ;</w:t>
      </w:r>
    </w:p>
    <w:p w:rsidR="0088664B" w:rsidRDefault="0088664B" w:rsidP="0088664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8664B">
        <w:rPr>
          <w:rFonts w:ascii="Times New Roman" w:hAnsi="Times New Roman"/>
          <w:sz w:val="28"/>
          <w:szCs w:val="28"/>
        </w:rPr>
        <w:t>Андрей Алексеевич</w:t>
      </w:r>
      <w:r>
        <w:rPr>
          <w:rFonts w:ascii="Times New Roman" w:hAnsi="Times New Roman"/>
          <w:sz w:val="28"/>
          <w:szCs w:val="28"/>
        </w:rPr>
        <w:t xml:space="preserve"> – Главный</w:t>
      </w:r>
      <w:r w:rsidRPr="0088664B">
        <w:rPr>
          <w:rFonts w:ascii="Times New Roman" w:hAnsi="Times New Roman"/>
          <w:sz w:val="28"/>
          <w:szCs w:val="28"/>
        </w:rPr>
        <w:t xml:space="preserve"> редактор журнала «А</w:t>
      </w:r>
      <w:r>
        <w:rPr>
          <w:rFonts w:ascii="Times New Roman" w:hAnsi="Times New Roman"/>
          <w:sz w:val="28"/>
          <w:szCs w:val="28"/>
        </w:rPr>
        <w:t>втоматика и телемеханика», член-корреспондент</w:t>
      </w:r>
      <w:r w:rsidRPr="0088664B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>;</w:t>
      </w:r>
    </w:p>
    <w:p w:rsidR="0088664B" w:rsidRDefault="0088664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Бычков Игорь Вячеславович – академик РАН, директор ИДСТУ СО РАН, профессор, д.т.н.;</w:t>
      </w:r>
    </w:p>
    <w:p w:rsidR="0088664B" w:rsidRDefault="0088664B" w:rsidP="005064FB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Толстоногов Александр Александрович – член-корреспондент РАН, </w:t>
      </w:r>
      <w:r w:rsidRPr="00C30FD2">
        <w:rPr>
          <w:rFonts w:ascii="Times New Roman" w:hAnsi="Times New Roman"/>
          <w:sz w:val="28"/>
          <w:szCs w:val="28"/>
        </w:rPr>
        <w:t>Первый заместитель директора по научной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FD2">
        <w:rPr>
          <w:rFonts w:ascii="Times New Roman" w:hAnsi="Times New Roman"/>
          <w:sz w:val="28"/>
          <w:szCs w:val="28"/>
        </w:rPr>
        <w:t>ИДСТУ СО РАН</w:t>
      </w:r>
      <w:r>
        <w:rPr>
          <w:rFonts w:ascii="Times New Roman" w:hAnsi="Times New Roman"/>
          <w:sz w:val="28"/>
          <w:szCs w:val="28"/>
        </w:rPr>
        <w:t>, д.ф.-м.н.</w:t>
      </w:r>
      <w:r w:rsidR="00A362F3">
        <w:rPr>
          <w:rFonts w:ascii="Times New Roman" w:hAnsi="Times New Roman"/>
          <w:sz w:val="28"/>
          <w:szCs w:val="28"/>
        </w:rPr>
        <w:t>;</w:t>
      </w:r>
    </w:p>
    <w:p w:rsidR="00A362F3" w:rsidRDefault="00A362F3" w:rsidP="00A362F3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62F3">
        <w:rPr>
          <w:rFonts w:ascii="Times New Roman" w:hAnsi="Times New Roman"/>
          <w:sz w:val="28"/>
          <w:szCs w:val="28"/>
        </w:rPr>
        <w:t xml:space="preserve">Владимир Иванович </w:t>
      </w:r>
      <w:r>
        <w:rPr>
          <w:rFonts w:ascii="Times New Roman" w:hAnsi="Times New Roman"/>
          <w:sz w:val="28"/>
          <w:szCs w:val="28"/>
        </w:rPr>
        <w:t>–</w:t>
      </w:r>
      <w:r w:rsidRPr="00A362F3">
        <w:rPr>
          <w:rFonts w:ascii="Times New Roman" w:hAnsi="Times New Roman"/>
          <w:sz w:val="28"/>
          <w:szCs w:val="28"/>
        </w:rPr>
        <w:t xml:space="preserve"> директор Отраслевого центра крупногабаритных трансформируемых механических систем АО «ИСС» имени академика М.Ф.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2F3">
        <w:rPr>
          <w:rFonts w:ascii="Times New Roman" w:hAnsi="Times New Roman"/>
          <w:sz w:val="28"/>
          <w:szCs w:val="28"/>
        </w:rPr>
        <w:t>Решетнёва</w:t>
      </w:r>
      <w:proofErr w:type="spellEnd"/>
      <w:r w:rsidRPr="00A362F3">
        <w:rPr>
          <w:rFonts w:ascii="Times New Roman" w:hAnsi="Times New Roman"/>
          <w:sz w:val="28"/>
          <w:szCs w:val="28"/>
        </w:rPr>
        <w:t>»;</w:t>
      </w:r>
    </w:p>
    <w:p w:rsidR="00A362F3" w:rsidRDefault="00A362F3" w:rsidP="00A362F3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Валерий Витальевич – </w:t>
      </w:r>
      <w:r w:rsidRPr="00A362F3">
        <w:rPr>
          <w:rFonts w:ascii="Times New Roman" w:hAnsi="Times New Roman"/>
          <w:sz w:val="28"/>
          <w:szCs w:val="28"/>
        </w:rPr>
        <w:t>академик Российско</w:t>
      </w:r>
      <w:r>
        <w:rPr>
          <w:rFonts w:ascii="Times New Roman" w:hAnsi="Times New Roman"/>
          <w:sz w:val="28"/>
          <w:szCs w:val="28"/>
        </w:rPr>
        <w:t xml:space="preserve">й академии наук, </w:t>
      </w:r>
      <w:r w:rsidRPr="00A362F3">
        <w:rPr>
          <w:rFonts w:ascii="Times New Roman" w:hAnsi="Times New Roman"/>
          <w:sz w:val="28"/>
          <w:szCs w:val="28"/>
        </w:rPr>
        <w:t>член-корреспо</w:t>
      </w:r>
      <w:r>
        <w:rPr>
          <w:rFonts w:ascii="Times New Roman" w:hAnsi="Times New Roman"/>
          <w:sz w:val="28"/>
          <w:szCs w:val="28"/>
        </w:rPr>
        <w:t>ндент Академии наук</w:t>
      </w:r>
      <w:r w:rsidRPr="00A362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д.т.н.</w:t>
      </w:r>
      <w:r w:rsidRPr="00A362F3">
        <w:rPr>
          <w:rFonts w:ascii="Times New Roman" w:hAnsi="Times New Roman"/>
          <w:sz w:val="28"/>
          <w:szCs w:val="28"/>
        </w:rPr>
        <w:t>, профессор, специалист в области строительной механики и механики твёрдого деформируемого тела;</w:t>
      </w:r>
    </w:p>
    <w:p w:rsidR="00A362F3" w:rsidRDefault="00A362F3" w:rsidP="00A362F3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Сердюк </w:t>
      </w:r>
      <w:r w:rsidRPr="00A362F3">
        <w:rPr>
          <w:rFonts w:ascii="Times New Roman" w:hAnsi="Times New Roman"/>
          <w:sz w:val="28"/>
          <w:szCs w:val="28"/>
        </w:rPr>
        <w:t xml:space="preserve">Алексей Игоревич </w:t>
      </w:r>
      <w:r>
        <w:rPr>
          <w:rFonts w:ascii="Times New Roman" w:hAnsi="Times New Roman"/>
          <w:sz w:val="28"/>
          <w:szCs w:val="28"/>
        </w:rPr>
        <w:t>–</w:t>
      </w:r>
      <w:r w:rsidRPr="00A362F3">
        <w:rPr>
          <w:rFonts w:ascii="Times New Roman" w:hAnsi="Times New Roman"/>
          <w:sz w:val="28"/>
          <w:szCs w:val="28"/>
        </w:rPr>
        <w:t xml:space="preserve"> начальник управления беспилотных систем и робототехники </w:t>
      </w:r>
      <w:proofErr w:type="spellStart"/>
      <w:r w:rsidRPr="00A362F3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A362F3">
        <w:rPr>
          <w:rFonts w:ascii="Times New Roman" w:hAnsi="Times New Roman"/>
          <w:sz w:val="28"/>
          <w:szCs w:val="28"/>
        </w:rPr>
        <w:t xml:space="preserve"> РФ;</w:t>
      </w:r>
    </w:p>
    <w:p w:rsidR="00A362F3" w:rsidRDefault="00A362F3" w:rsidP="00A362F3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Гаранин </w:t>
      </w:r>
      <w:r w:rsidRPr="00A362F3">
        <w:rPr>
          <w:rFonts w:ascii="Times New Roman" w:hAnsi="Times New Roman"/>
          <w:sz w:val="28"/>
          <w:szCs w:val="28"/>
        </w:rPr>
        <w:t xml:space="preserve">Сергей Георгиевич </w:t>
      </w:r>
      <w:r>
        <w:rPr>
          <w:rFonts w:ascii="Times New Roman" w:hAnsi="Times New Roman"/>
          <w:sz w:val="28"/>
          <w:szCs w:val="28"/>
        </w:rPr>
        <w:t>–</w:t>
      </w:r>
      <w:r w:rsidRPr="00A362F3">
        <w:rPr>
          <w:rFonts w:ascii="Times New Roman" w:hAnsi="Times New Roman"/>
          <w:sz w:val="28"/>
          <w:szCs w:val="28"/>
        </w:rPr>
        <w:t xml:space="preserve"> Директор Института лазерно-физических исследований РФЯЦ-ВНИИЭФ;</w:t>
      </w:r>
    </w:p>
    <w:p w:rsidR="00A362F3" w:rsidRPr="00505CD0" w:rsidRDefault="00A362F3" w:rsidP="00A362F3">
      <w:pPr>
        <w:pStyle w:val="af4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Коротков </w:t>
      </w:r>
      <w:r w:rsidRPr="00A362F3">
        <w:rPr>
          <w:rFonts w:ascii="Times New Roman" w:hAnsi="Times New Roman"/>
          <w:sz w:val="28"/>
          <w:szCs w:val="28"/>
        </w:rPr>
        <w:t xml:space="preserve">Сергей Сергеевич </w:t>
      </w:r>
      <w:r>
        <w:rPr>
          <w:rFonts w:ascii="Times New Roman" w:hAnsi="Times New Roman"/>
          <w:sz w:val="28"/>
          <w:szCs w:val="28"/>
        </w:rPr>
        <w:t>–</w:t>
      </w:r>
      <w:r w:rsidRPr="00A362F3">
        <w:rPr>
          <w:rFonts w:ascii="Times New Roman" w:hAnsi="Times New Roman"/>
          <w:sz w:val="28"/>
          <w:szCs w:val="28"/>
        </w:rPr>
        <w:t xml:space="preserve"> Генеральный конструктор — заместитель Генерального директора ПАО «Объединенная авиастроительная корпорация»</w:t>
      </w:r>
      <w:r>
        <w:rPr>
          <w:rFonts w:ascii="Times New Roman" w:hAnsi="Times New Roman"/>
          <w:sz w:val="28"/>
          <w:szCs w:val="28"/>
        </w:rPr>
        <w:t>.</w:t>
      </w:r>
    </w:p>
    <w:p w:rsidR="0088664B" w:rsidRDefault="0088664B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7AF" w:rsidRPr="00505CD0" w:rsidRDefault="00286F6C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Лучшие доклады участников по итогам рецензирования будут рекомендованы к опубликованию в следующих журналах:</w:t>
      </w:r>
    </w:p>
    <w:p w:rsidR="005A27AF" w:rsidRPr="00505CD0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«Автоматика и телемеханика»</w:t>
      </w:r>
      <w:r w:rsidRPr="00505CD0">
        <w:rPr>
          <w:rFonts w:ascii="Times New Roman" w:hAnsi="Times New Roman"/>
          <w:sz w:val="28"/>
          <w:szCs w:val="28"/>
        </w:rPr>
        <w:t>;</w:t>
      </w:r>
      <w:r w:rsidRPr="00505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27AF" w:rsidRPr="00505CD0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«Известия вузов. Авиационная техника»</w:t>
      </w:r>
      <w:r w:rsidRPr="00505CD0">
        <w:rPr>
          <w:rFonts w:ascii="Times New Roman" w:hAnsi="Times New Roman"/>
          <w:sz w:val="28"/>
          <w:szCs w:val="28"/>
        </w:rPr>
        <w:t>;</w:t>
      </w:r>
    </w:p>
    <w:p w:rsidR="005A27AF" w:rsidRPr="00505CD0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«Известия вузов. Математика»</w:t>
      </w:r>
      <w:r w:rsidRPr="00505CD0">
        <w:rPr>
          <w:rFonts w:ascii="Times New Roman" w:hAnsi="Times New Roman"/>
          <w:sz w:val="28"/>
          <w:szCs w:val="28"/>
        </w:rPr>
        <w:t>;</w:t>
      </w:r>
    </w:p>
    <w:p w:rsidR="005A27AF" w:rsidRPr="00505CD0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«Вестник Казанского государственного технического университета им. А.Н. Туполева»</w:t>
      </w:r>
      <w:r w:rsidRPr="00505CD0">
        <w:rPr>
          <w:rFonts w:ascii="Times New Roman" w:hAnsi="Times New Roman"/>
          <w:sz w:val="28"/>
          <w:szCs w:val="28"/>
        </w:rPr>
        <w:t>;</w:t>
      </w:r>
      <w:r w:rsidRPr="00505C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1865" w:rsidRPr="00505CD0" w:rsidRDefault="00B51865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«Вестник Технологического университета»</w:t>
      </w:r>
    </w:p>
    <w:p w:rsidR="005A27AF" w:rsidRPr="00505CD0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«Электронные библиотеки»</w:t>
      </w:r>
      <w:r w:rsidRPr="00505CD0">
        <w:rPr>
          <w:rFonts w:ascii="Times New Roman" w:hAnsi="Times New Roman"/>
          <w:sz w:val="28"/>
          <w:szCs w:val="28"/>
        </w:rPr>
        <w:t>;</w:t>
      </w:r>
    </w:p>
    <w:p w:rsidR="005A27AF" w:rsidRPr="00505CD0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eastAsia="ru-RU"/>
        </w:rPr>
        <w:t>«Ученые записки Казанского университета. Серия физико-математические науки».</w:t>
      </w:r>
    </w:p>
    <w:p w:rsidR="00E11D0B" w:rsidRPr="00E11D0B" w:rsidRDefault="00E11D0B" w:rsidP="00E11D0B">
      <w:pPr>
        <w:widowControl w:val="0"/>
        <w:spacing w:after="0" w:line="240" w:lineRule="auto"/>
        <w:ind w:left="420" w:firstLine="431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>Лучшие докладчики будут награждены ценными подарками!</w:t>
      </w:r>
    </w:p>
    <w:p w:rsidR="005A27AF" w:rsidRDefault="005A27AF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shd w:val="clear" w:color="auto" w:fill="FFFF00"/>
          <w:lang w:eastAsia="ru-RU"/>
        </w:rPr>
      </w:pPr>
    </w:p>
    <w:p w:rsidR="005A27AF" w:rsidRDefault="00286F6C">
      <w:pPr>
        <w:spacing w:after="0" w:line="240" w:lineRule="auto"/>
        <w:ind w:right="153" w:firstLine="709"/>
        <w:jc w:val="both"/>
        <w:rPr>
          <w:rStyle w:val="a5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Правила оформления статей и образец: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513459" w:rsidRPr="00513459">
          <w:rPr>
            <w:rStyle w:val="a5"/>
            <w:rFonts w:ascii="Times New Roman" w:hAnsi="Times New Roman"/>
            <w:sz w:val="28"/>
            <w:szCs w:val="28"/>
            <w:lang w:eastAsia="ru-RU"/>
          </w:rPr>
          <w:t>ссылка</w:t>
        </w:r>
      </w:hyperlink>
    </w:p>
    <w:p w:rsidR="008B7220" w:rsidRDefault="008B7220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7AF" w:rsidRDefault="00286F6C">
      <w:pPr>
        <w:spacing w:after="0" w:line="240" w:lineRule="auto"/>
        <w:jc w:val="center"/>
        <w:rPr>
          <w:sz w:val="28"/>
          <w:szCs w:val="28"/>
        </w:rPr>
      </w:pPr>
      <w:bookmarkStart w:id="2" w:name="__DdeLink__20036_3680485601"/>
      <w:r>
        <w:rPr>
          <w:rFonts w:ascii="Times New Roman" w:hAnsi="Times New Roman"/>
          <w:b/>
          <w:sz w:val="28"/>
          <w:szCs w:val="28"/>
        </w:rPr>
        <w:lastRenderedPageBreak/>
        <w:t>П</w:t>
      </w:r>
      <w:bookmarkStart w:id="3" w:name="__DdeLink__20038_3680485601"/>
      <w:r>
        <w:rPr>
          <w:rFonts w:ascii="Times New Roman" w:hAnsi="Times New Roman"/>
          <w:b/>
          <w:sz w:val="28"/>
          <w:szCs w:val="28"/>
        </w:rPr>
        <w:t>риглашаем стать партнерами конференции</w:t>
      </w:r>
      <w:bookmarkEnd w:id="2"/>
      <w:bookmarkEnd w:id="3"/>
    </w:p>
    <w:p w:rsidR="005A27AF" w:rsidRPr="00505CD0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Конференция объединит ведущих учёных, исследователей и специалистов различных отраслей науки для обсуждения актуальных вопросов, и обмена опытом</w:t>
      </w:r>
      <w:r w:rsidRPr="00505CD0">
        <w:rPr>
          <w:rFonts w:ascii="Times New Roman" w:hAnsi="Times New Roman"/>
          <w:sz w:val="28"/>
          <w:szCs w:val="28"/>
        </w:rPr>
        <w:t>.</w:t>
      </w:r>
      <w:r w:rsidR="00FD38DF" w:rsidRPr="00505CD0">
        <w:rPr>
          <w:rFonts w:ascii="Times New Roman" w:hAnsi="Times New Roman"/>
          <w:sz w:val="28"/>
          <w:szCs w:val="28"/>
        </w:rPr>
        <w:t xml:space="preserve"> В рамках проведения Конференции будет организована выставка </w:t>
      </w:r>
      <w:r w:rsidR="008535CD" w:rsidRPr="00505CD0">
        <w:rPr>
          <w:rFonts w:ascii="Times New Roman" w:hAnsi="Times New Roman"/>
          <w:sz w:val="28"/>
          <w:szCs w:val="28"/>
        </w:rPr>
        <w:t>в фойе 8-го учебного здания</w:t>
      </w:r>
      <w:r w:rsidR="006436B9">
        <w:rPr>
          <w:rFonts w:ascii="Times New Roman" w:hAnsi="Times New Roman"/>
          <w:sz w:val="28"/>
          <w:szCs w:val="28"/>
        </w:rPr>
        <w:t xml:space="preserve"> КНИТУ-КАИ</w:t>
      </w:r>
      <w:r w:rsidR="008535CD" w:rsidRPr="00505CD0">
        <w:rPr>
          <w:rFonts w:ascii="Times New Roman" w:hAnsi="Times New Roman"/>
          <w:sz w:val="28"/>
          <w:szCs w:val="28"/>
        </w:rPr>
        <w:t xml:space="preserve"> с демонстрацией достижений результатов научно-технической деятельности по профилю секций. Приглашаем к участию в выставочной экспозиции.</w:t>
      </w:r>
      <w:r w:rsidR="001F0853" w:rsidRPr="00505CD0">
        <w:rPr>
          <w:rFonts w:ascii="Times New Roman" w:hAnsi="Times New Roman"/>
          <w:sz w:val="28"/>
          <w:szCs w:val="28"/>
        </w:rPr>
        <w:t xml:space="preserve"> Необходимо учесть, </w:t>
      </w:r>
      <w:r w:rsidR="001F0853" w:rsidRPr="00505CD0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что демонстрация продукции военного назначения осуществляется в соответствии с соблюдением требований к распространению информации, содержащей государственную тайну и экспортного контроля.</w:t>
      </w:r>
    </w:p>
    <w:p w:rsidR="005A27AF" w:rsidRPr="00505CD0" w:rsidRDefault="00286F6C">
      <w:pPr>
        <w:spacing w:after="0" w:line="240" w:lineRule="auto"/>
        <w:ind w:firstLine="709"/>
        <w:jc w:val="both"/>
      </w:pPr>
      <w:r w:rsidRPr="00505CD0">
        <w:rPr>
          <w:rFonts w:ascii="Times New Roman" w:hAnsi="Times New Roman"/>
          <w:sz w:val="28"/>
          <w:szCs w:val="28"/>
        </w:rPr>
        <w:t>Партнёрство с нашей конференцией предоставит Вам возможность:</w:t>
      </w:r>
    </w:p>
    <w:p w:rsidR="005A27AF" w:rsidRDefault="00286F6C">
      <w:pPr>
        <w:spacing w:after="0" w:line="240" w:lineRule="auto"/>
        <w:ind w:firstLine="709"/>
        <w:jc w:val="both"/>
      </w:pPr>
      <w:r w:rsidRPr="00505CD0">
        <w:rPr>
          <w:rFonts w:ascii="Times New Roman" w:hAnsi="Times New Roman"/>
          <w:sz w:val="28"/>
          <w:szCs w:val="28"/>
        </w:rPr>
        <w:t>•</w:t>
      </w:r>
      <w:r w:rsidR="00FD38DF" w:rsidRPr="00505CD0">
        <w:rPr>
          <w:rFonts w:ascii="Times New Roman" w:hAnsi="Times New Roman"/>
          <w:sz w:val="28"/>
          <w:szCs w:val="28"/>
        </w:rPr>
        <w:t> </w:t>
      </w:r>
      <w:r w:rsidRPr="00505CD0">
        <w:rPr>
          <w:rFonts w:ascii="Times New Roman" w:hAnsi="Times New Roman"/>
          <w:sz w:val="28"/>
          <w:szCs w:val="28"/>
        </w:rPr>
        <w:t>Продемонстрировать свои достижения и инновации</w:t>
      </w:r>
      <w:r>
        <w:rPr>
          <w:rFonts w:ascii="Times New Roman" w:hAnsi="Times New Roman"/>
          <w:sz w:val="28"/>
          <w:szCs w:val="28"/>
        </w:rPr>
        <w:t xml:space="preserve"> перед широкой аудиторией;</w:t>
      </w:r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spacing w:val="-4"/>
          <w:sz w:val="28"/>
          <w:szCs w:val="28"/>
        </w:rPr>
        <w:t>Установить новые деловые контакты и укрепить существующие партнёрские отношения;</w:t>
      </w:r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 Повысить узнаваемость бренда среди научного сообщества;</w:t>
      </w:r>
    </w:p>
    <w:p w:rsidR="003E1391" w:rsidRPr="00424485" w:rsidRDefault="00286F6C" w:rsidP="004244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 Внести вклад в развитие научного сообщества и продвижение новых идей.</w:t>
      </w:r>
    </w:p>
    <w:p w:rsidR="000618A1" w:rsidRDefault="00061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220" w:rsidRPr="00505CD0" w:rsidRDefault="008B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D0">
        <w:rPr>
          <w:rFonts w:ascii="Times New Roman" w:hAnsi="Times New Roman"/>
          <w:b/>
          <w:sz w:val="28"/>
          <w:szCs w:val="28"/>
        </w:rPr>
        <w:t>Проживание:</w:t>
      </w:r>
    </w:p>
    <w:p w:rsidR="008B7220" w:rsidRPr="00505CD0" w:rsidRDefault="008B7220" w:rsidP="008B722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</w:rPr>
        <w:t>Ривьера 4*</w:t>
      </w:r>
      <w:r w:rsidR="00FD38DF" w:rsidRPr="00505CD0">
        <w:rPr>
          <w:rFonts w:ascii="Times New Roman" w:hAnsi="Times New Roman"/>
          <w:sz w:val="28"/>
          <w:szCs w:val="28"/>
        </w:rPr>
        <w:t>,</w:t>
      </w:r>
      <w:r w:rsidRPr="00505CD0">
        <w:rPr>
          <w:rFonts w:ascii="Times New Roman" w:hAnsi="Times New Roman"/>
          <w:sz w:val="28"/>
          <w:szCs w:val="28"/>
        </w:rPr>
        <w:t xml:space="preserve"> Республика Татарстан, </w:t>
      </w:r>
      <w:r w:rsidR="00FD38DF" w:rsidRPr="00505CD0">
        <w:rPr>
          <w:rFonts w:ascii="Times New Roman" w:hAnsi="Times New Roman"/>
          <w:sz w:val="28"/>
          <w:szCs w:val="28"/>
        </w:rPr>
        <w:t xml:space="preserve">г. </w:t>
      </w:r>
      <w:r w:rsidRPr="00505CD0">
        <w:rPr>
          <w:rFonts w:ascii="Times New Roman" w:hAnsi="Times New Roman"/>
          <w:sz w:val="28"/>
          <w:szCs w:val="28"/>
        </w:rPr>
        <w:t>Казань, ул</w:t>
      </w:r>
      <w:r w:rsidR="00FD38DF" w:rsidRPr="00505CD0">
        <w:rPr>
          <w:rFonts w:ascii="Times New Roman" w:hAnsi="Times New Roman"/>
          <w:sz w:val="28"/>
          <w:szCs w:val="28"/>
        </w:rPr>
        <w:t>.</w:t>
      </w:r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Фатыха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Амирхана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, </w:t>
      </w:r>
      <w:r w:rsidR="00FD38DF" w:rsidRPr="00505CD0">
        <w:rPr>
          <w:rFonts w:ascii="Times New Roman" w:hAnsi="Times New Roman"/>
          <w:sz w:val="28"/>
          <w:szCs w:val="28"/>
        </w:rPr>
        <w:t>д.</w:t>
      </w:r>
      <w:r w:rsidRPr="00505CD0">
        <w:rPr>
          <w:rFonts w:ascii="Times New Roman" w:hAnsi="Times New Roman"/>
          <w:sz w:val="28"/>
          <w:szCs w:val="28"/>
        </w:rPr>
        <w:t>1А</w:t>
      </w:r>
    </w:p>
    <w:p w:rsidR="008B7220" w:rsidRPr="00505CD0" w:rsidRDefault="008B7220" w:rsidP="00FD38DF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CD0">
        <w:rPr>
          <w:rFonts w:ascii="Times New Roman" w:hAnsi="Times New Roman"/>
          <w:sz w:val="28"/>
          <w:szCs w:val="28"/>
          <w:lang w:val="en-US"/>
        </w:rPr>
        <w:t>Dion</w:t>
      </w:r>
      <w:r w:rsidRPr="00505CD0">
        <w:rPr>
          <w:rFonts w:ascii="Times New Roman" w:hAnsi="Times New Roman"/>
          <w:sz w:val="28"/>
          <w:szCs w:val="28"/>
        </w:rPr>
        <w:t xml:space="preserve"> </w:t>
      </w:r>
      <w:r w:rsidRPr="00505CD0">
        <w:rPr>
          <w:rFonts w:ascii="Times New Roman" w:hAnsi="Times New Roman"/>
          <w:sz w:val="28"/>
          <w:szCs w:val="28"/>
          <w:lang w:val="en-US"/>
        </w:rPr>
        <w:t>Inn</w:t>
      </w:r>
      <w:r w:rsidRPr="00505CD0">
        <w:rPr>
          <w:rFonts w:ascii="Times New Roman" w:hAnsi="Times New Roman"/>
          <w:sz w:val="28"/>
          <w:szCs w:val="28"/>
        </w:rPr>
        <w:t xml:space="preserve"> </w:t>
      </w:r>
      <w:r w:rsidRPr="00505CD0">
        <w:rPr>
          <w:rFonts w:ascii="Times New Roman" w:hAnsi="Times New Roman"/>
          <w:sz w:val="28"/>
          <w:szCs w:val="28"/>
          <w:lang w:val="en-US"/>
        </w:rPr>
        <w:t>Hotel</w:t>
      </w:r>
      <w:r w:rsidRPr="00505CD0">
        <w:rPr>
          <w:rFonts w:ascii="Times New Roman" w:hAnsi="Times New Roman"/>
          <w:sz w:val="28"/>
          <w:szCs w:val="28"/>
        </w:rPr>
        <w:t xml:space="preserve"> &amp; </w:t>
      </w:r>
      <w:r w:rsidRPr="00505CD0">
        <w:rPr>
          <w:rFonts w:ascii="Times New Roman" w:hAnsi="Times New Roman"/>
          <w:sz w:val="28"/>
          <w:szCs w:val="28"/>
          <w:lang w:val="en-US"/>
        </w:rPr>
        <w:t>SPA</w:t>
      </w:r>
      <w:r w:rsidRPr="00505CD0">
        <w:rPr>
          <w:rFonts w:ascii="Times New Roman" w:hAnsi="Times New Roman"/>
          <w:sz w:val="28"/>
          <w:szCs w:val="28"/>
        </w:rPr>
        <w:t xml:space="preserve"> 4*</w:t>
      </w:r>
      <w:r w:rsidR="00FD38DF" w:rsidRPr="00505CD0">
        <w:rPr>
          <w:rFonts w:ascii="Times New Roman" w:hAnsi="Times New Roman"/>
          <w:sz w:val="28"/>
          <w:szCs w:val="28"/>
        </w:rPr>
        <w:t>, Республика Татарстан, г. Казань, ул. Алексея Козина, д.3</w:t>
      </w:r>
    </w:p>
    <w:p w:rsidR="008B7220" w:rsidRPr="00505CD0" w:rsidRDefault="008B7220" w:rsidP="008B722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CD0">
        <w:rPr>
          <w:rFonts w:ascii="Times New Roman" w:hAnsi="Times New Roman"/>
          <w:sz w:val="28"/>
          <w:szCs w:val="28"/>
        </w:rPr>
        <w:t>Rushouse</w:t>
      </w:r>
      <w:proofErr w:type="spellEnd"/>
      <w:r w:rsidR="00FD38DF" w:rsidRPr="00505CD0">
        <w:rPr>
          <w:rFonts w:ascii="Times New Roman" w:hAnsi="Times New Roman"/>
          <w:sz w:val="28"/>
          <w:szCs w:val="28"/>
        </w:rPr>
        <w:t xml:space="preserve"> 4*,</w:t>
      </w:r>
      <w:r w:rsidRPr="00505CD0">
        <w:rPr>
          <w:rFonts w:ascii="Times New Roman" w:hAnsi="Times New Roman"/>
          <w:sz w:val="28"/>
          <w:szCs w:val="28"/>
        </w:rPr>
        <w:t xml:space="preserve"> Республика Татарстан, </w:t>
      </w:r>
      <w:proofErr w:type="spellStart"/>
      <w:r w:rsidR="00FD38DF" w:rsidRPr="00505CD0">
        <w:rPr>
          <w:rFonts w:ascii="Times New Roman" w:hAnsi="Times New Roman"/>
          <w:sz w:val="28"/>
          <w:szCs w:val="28"/>
        </w:rPr>
        <w:t>г.Казань</w:t>
      </w:r>
      <w:proofErr w:type="spellEnd"/>
      <w:r w:rsidR="00FD38DF" w:rsidRPr="00505CD0">
        <w:rPr>
          <w:rFonts w:ascii="Times New Roman" w:hAnsi="Times New Roman"/>
          <w:sz w:val="28"/>
          <w:szCs w:val="28"/>
        </w:rPr>
        <w:t>, ул.</w:t>
      </w:r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Сибгата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Хакима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, </w:t>
      </w:r>
      <w:r w:rsidR="00FD38DF" w:rsidRPr="00505CD0">
        <w:rPr>
          <w:rFonts w:ascii="Times New Roman" w:hAnsi="Times New Roman"/>
          <w:sz w:val="28"/>
          <w:szCs w:val="28"/>
        </w:rPr>
        <w:t>д.</w:t>
      </w:r>
      <w:r w:rsidRPr="00505CD0">
        <w:rPr>
          <w:rFonts w:ascii="Times New Roman" w:hAnsi="Times New Roman"/>
          <w:sz w:val="28"/>
          <w:szCs w:val="28"/>
        </w:rPr>
        <w:t>40</w:t>
      </w:r>
    </w:p>
    <w:p w:rsidR="008B7220" w:rsidRPr="00505CD0" w:rsidRDefault="008B7220" w:rsidP="008B7220">
      <w:pPr>
        <w:pStyle w:val="a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5CD0">
        <w:rPr>
          <w:rFonts w:ascii="Times New Roman" w:hAnsi="Times New Roman"/>
          <w:sz w:val="28"/>
          <w:szCs w:val="28"/>
        </w:rPr>
        <w:t>Мано</w:t>
      </w:r>
      <w:proofErr w:type="spellEnd"/>
      <w:r w:rsidR="00A6068C" w:rsidRPr="00505CD0">
        <w:rPr>
          <w:rFonts w:ascii="Times New Roman" w:hAnsi="Times New Roman"/>
          <w:sz w:val="28"/>
          <w:szCs w:val="28"/>
        </w:rPr>
        <w:t xml:space="preserve"> 3*</w:t>
      </w:r>
      <w:r w:rsidRPr="00505CD0">
        <w:rPr>
          <w:rFonts w:ascii="Times New Roman" w:hAnsi="Times New Roman"/>
          <w:sz w:val="28"/>
          <w:szCs w:val="28"/>
        </w:rPr>
        <w:t xml:space="preserve">, Республика Татарстан, </w:t>
      </w:r>
      <w:proofErr w:type="spellStart"/>
      <w:r w:rsidR="00FD38DF" w:rsidRPr="00505CD0">
        <w:rPr>
          <w:rFonts w:ascii="Times New Roman" w:hAnsi="Times New Roman"/>
          <w:sz w:val="28"/>
          <w:szCs w:val="28"/>
        </w:rPr>
        <w:t>г.</w:t>
      </w:r>
      <w:r w:rsidRPr="00505CD0">
        <w:rPr>
          <w:rFonts w:ascii="Times New Roman" w:hAnsi="Times New Roman"/>
          <w:sz w:val="28"/>
          <w:szCs w:val="28"/>
        </w:rPr>
        <w:t>Казань</w:t>
      </w:r>
      <w:proofErr w:type="spellEnd"/>
      <w:r w:rsidRPr="00505CD0">
        <w:rPr>
          <w:rFonts w:ascii="Times New Roman" w:hAnsi="Times New Roman"/>
          <w:sz w:val="28"/>
          <w:szCs w:val="28"/>
        </w:rPr>
        <w:t>, ул</w:t>
      </w:r>
      <w:r w:rsidR="00FD38DF" w:rsidRPr="00505CD0">
        <w:rPr>
          <w:rFonts w:ascii="Times New Roman" w:hAnsi="Times New Roman"/>
          <w:sz w:val="28"/>
          <w:szCs w:val="28"/>
        </w:rPr>
        <w:t>.</w:t>
      </w:r>
      <w:r w:rsidRPr="00505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CD0">
        <w:rPr>
          <w:rFonts w:ascii="Times New Roman" w:hAnsi="Times New Roman"/>
          <w:sz w:val="28"/>
          <w:szCs w:val="28"/>
        </w:rPr>
        <w:t>Чистопольская</w:t>
      </w:r>
      <w:proofErr w:type="spellEnd"/>
      <w:r w:rsidRPr="00505CD0">
        <w:rPr>
          <w:rFonts w:ascii="Times New Roman" w:hAnsi="Times New Roman"/>
          <w:sz w:val="28"/>
          <w:szCs w:val="28"/>
        </w:rPr>
        <w:t xml:space="preserve">, </w:t>
      </w:r>
      <w:r w:rsidR="00FD38DF" w:rsidRPr="00505CD0">
        <w:rPr>
          <w:rFonts w:ascii="Times New Roman" w:hAnsi="Times New Roman"/>
          <w:sz w:val="28"/>
          <w:szCs w:val="28"/>
        </w:rPr>
        <w:t>д.</w:t>
      </w:r>
      <w:r w:rsidRPr="00505CD0">
        <w:rPr>
          <w:rFonts w:ascii="Times New Roman" w:hAnsi="Times New Roman"/>
          <w:sz w:val="28"/>
          <w:szCs w:val="28"/>
        </w:rPr>
        <w:t>47А</w:t>
      </w:r>
    </w:p>
    <w:p w:rsidR="008B7220" w:rsidRPr="00505CD0" w:rsidRDefault="008B7220" w:rsidP="008B7220">
      <w:pPr>
        <w:pStyle w:val="af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AF" w:rsidRDefault="002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CD0">
        <w:rPr>
          <w:rFonts w:ascii="Times New Roman" w:hAnsi="Times New Roman"/>
          <w:b/>
          <w:sz w:val="28"/>
          <w:szCs w:val="28"/>
        </w:rPr>
        <w:t>Контакты:</w:t>
      </w:r>
    </w:p>
    <w:p w:rsidR="005A27AF" w:rsidRDefault="00286F6C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Валегжанина София Михайловна, </w:t>
      </w:r>
    </w:p>
    <w:p w:rsidR="005A27AF" w:rsidRDefault="00286F6C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>е-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 </w:t>
      </w:r>
      <w:hyperlink r:id="rId10">
        <w:r>
          <w:rPr>
            <w:rStyle w:val="a5"/>
            <w:rFonts w:ascii="Times New Roman" w:hAnsi="Times New Roman"/>
            <w:sz w:val="28"/>
            <w:szCs w:val="28"/>
          </w:rPr>
          <w:t>Chetaev@kai.ru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A27AF" w:rsidRDefault="00286F6C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тел.: + 7 (843) 231-97-96</w:t>
      </w:r>
    </w:p>
    <w:tbl>
      <w:tblPr>
        <w:tblStyle w:val="af9"/>
        <w:tblW w:w="11052" w:type="dxa"/>
        <w:tblLayout w:type="fixed"/>
        <w:tblLook w:val="04A0" w:firstRow="1" w:lastRow="0" w:firstColumn="1" w:lastColumn="0" w:noHBand="0" w:noVBand="1"/>
      </w:tblPr>
      <w:tblGrid>
        <w:gridCol w:w="6097"/>
        <w:gridCol w:w="4955"/>
      </w:tblGrid>
      <w:tr w:rsidR="005A27AF">
        <w:trPr>
          <w:trHeight w:val="20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A27AF" w:rsidRDefault="00286F6C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6195" cy="12611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6195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7AF" w:rsidRDefault="00286F6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-код на платформу Ломоносов</w:t>
            </w:r>
          </w:p>
          <w:p w:rsidR="005A27AF" w:rsidRDefault="005A2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27AF" w:rsidRDefault="005A27AF"/>
    <w:sectPr w:rsidR="005A27AF">
      <w:pgSz w:w="11906" w:h="16838"/>
      <w:pgMar w:top="1134" w:right="566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DCD"/>
    <w:multiLevelType w:val="hybridMultilevel"/>
    <w:tmpl w:val="CD6E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3C9D"/>
    <w:multiLevelType w:val="multilevel"/>
    <w:tmpl w:val="06A4135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3743C8"/>
    <w:multiLevelType w:val="multilevel"/>
    <w:tmpl w:val="152A2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541EA1"/>
    <w:multiLevelType w:val="multilevel"/>
    <w:tmpl w:val="6E6200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535271"/>
    <w:multiLevelType w:val="multilevel"/>
    <w:tmpl w:val="1B4EBE90"/>
    <w:lvl w:ilvl="0">
      <w:start w:val="1"/>
      <w:numFmt w:val="bullet"/>
      <w:lvlText w:val=""/>
      <w:lvlJc w:val="left"/>
      <w:pPr>
        <w:tabs>
          <w:tab w:val="num" w:pos="0"/>
        </w:tabs>
        <w:ind w:left="1236" w:hanging="360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7D5398"/>
    <w:multiLevelType w:val="multilevel"/>
    <w:tmpl w:val="69C2BB08"/>
    <w:lvl w:ilvl="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990892"/>
    <w:multiLevelType w:val="hybridMultilevel"/>
    <w:tmpl w:val="D5EEA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D21337"/>
    <w:multiLevelType w:val="multilevel"/>
    <w:tmpl w:val="CEFAD0F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F"/>
    <w:rsid w:val="000618A1"/>
    <w:rsid w:val="000C31AE"/>
    <w:rsid w:val="00180595"/>
    <w:rsid w:val="001F0853"/>
    <w:rsid w:val="00286F6C"/>
    <w:rsid w:val="002E7716"/>
    <w:rsid w:val="00382C85"/>
    <w:rsid w:val="003B6454"/>
    <w:rsid w:val="003E1391"/>
    <w:rsid w:val="00424485"/>
    <w:rsid w:val="0043447D"/>
    <w:rsid w:val="00505CD0"/>
    <w:rsid w:val="005064FB"/>
    <w:rsid w:val="00513459"/>
    <w:rsid w:val="00516464"/>
    <w:rsid w:val="0054783E"/>
    <w:rsid w:val="005554D5"/>
    <w:rsid w:val="005A0842"/>
    <w:rsid w:val="005A27AF"/>
    <w:rsid w:val="006436B9"/>
    <w:rsid w:val="006F36A5"/>
    <w:rsid w:val="007708D2"/>
    <w:rsid w:val="007A3687"/>
    <w:rsid w:val="007B7B7E"/>
    <w:rsid w:val="008535CD"/>
    <w:rsid w:val="0085529E"/>
    <w:rsid w:val="0088664B"/>
    <w:rsid w:val="00896710"/>
    <w:rsid w:val="008B7220"/>
    <w:rsid w:val="008C34FA"/>
    <w:rsid w:val="0097008B"/>
    <w:rsid w:val="00981A9D"/>
    <w:rsid w:val="00A362F3"/>
    <w:rsid w:val="00A6068C"/>
    <w:rsid w:val="00A872F1"/>
    <w:rsid w:val="00AE5D7B"/>
    <w:rsid w:val="00B350CB"/>
    <w:rsid w:val="00B51865"/>
    <w:rsid w:val="00C22E77"/>
    <w:rsid w:val="00C316E0"/>
    <w:rsid w:val="00C61A96"/>
    <w:rsid w:val="00C95A99"/>
    <w:rsid w:val="00D15C53"/>
    <w:rsid w:val="00D433F6"/>
    <w:rsid w:val="00D67A2B"/>
    <w:rsid w:val="00DA3A6F"/>
    <w:rsid w:val="00DF1550"/>
    <w:rsid w:val="00E11D0B"/>
    <w:rsid w:val="00E25458"/>
    <w:rsid w:val="00E966D7"/>
    <w:rsid w:val="00F46C32"/>
    <w:rsid w:val="00F64B63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0659-0C75-470B-AC6F-B921A809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E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1A57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57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1A5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1A57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1A5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1A573E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rsid w:val="001A573E"/>
    <w:rPr>
      <w:rFonts w:cs="Times New Roman"/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A573E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C0467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61126D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61126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F35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806D2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CA2993"/>
    <w:rPr>
      <w:i/>
      <w:iCs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uiPriority w:val="99"/>
    <w:rsid w:val="001A57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qFormat/>
    <w:rsid w:val="001A573E"/>
    <w:pPr>
      <w:spacing w:after="120"/>
      <w:ind w:left="283"/>
    </w:pPr>
    <w:rPr>
      <w:sz w:val="16"/>
      <w:szCs w:val="16"/>
    </w:rPr>
  </w:style>
  <w:style w:type="paragraph" w:customStyle="1" w:styleId="6">
    <w:name w:val="Стиль6"/>
    <w:basedOn w:val="a"/>
    <w:next w:val="a"/>
    <w:uiPriority w:val="99"/>
    <w:qFormat/>
    <w:rsid w:val="001A573E"/>
    <w:pPr>
      <w:widowControl w:val="0"/>
      <w:overflowPunct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">
    <w:name w:val="Стиль5"/>
    <w:basedOn w:val="a"/>
    <w:next w:val="a"/>
    <w:uiPriority w:val="99"/>
    <w:qFormat/>
    <w:rsid w:val="001A573E"/>
    <w:pPr>
      <w:widowControl w:val="0"/>
      <w:overflowPunct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A57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0C4EFB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EC046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6112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6112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D5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54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monosov-msu.ru/rus/event/954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hetaev@k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monosov-msu.ru/file/event/9545/eid9545_attach_ef4a7d9699073aa578b99c8f5b30f3e3cb89eb4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0537-BDCB-439E-B89A-AC2CBD98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dc:description/>
  <cp:lastModifiedBy>Валегжанина София Михайловна</cp:lastModifiedBy>
  <cp:revision>13</cp:revision>
  <cp:lastPrinted>2025-02-13T07:32:00Z</cp:lastPrinted>
  <dcterms:created xsi:type="dcterms:W3CDTF">2025-04-17T13:43:00Z</dcterms:created>
  <dcterms:modified xsi:type="dcterms:W3CDTF">2025-04-28T06:02:00Z</dcterms:modified>
  <dc:language>ru-RU</dc:language>
</cp:coreProperties>
</file>