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ИНФОРМАЦИОННОЕ ПИСЬМО</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Уважаемые коллеги!</w:t>
      </w:r>
      <w:r w:rsidDel="00000000" w:rsidR="00000000" w:rsidRPr="00000000">
        <w:rPr>
          <w:rtl w:val="0"/>
        </w:rPr>
      </w:r>
    </w:p>
    <w:p w:rsidR="00000000" w:rsidDel="00000000" w:rsidP="00000000" w:rsidRDefault="00000000" w:rsidRPr="00000000" w14:paraId="00000005">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Приглашаем Вас принять участие в работе круглого стола </w:t>
      </w:r>
      <w:r w:rsidDel="00000000" w:rsidR="00000000" w:rsidRPr="00000000">
        <w:rPr>
          <w:rFonts w:ascii="Times New Roman" w:cs="Times New Roman" w:eastAsia="Times New Roman" w:hAnsi="Times New Roman"/>
          <w:b w:val="1"/>
          <w:i w:val="1"/>
          <w:color w:val="000000"/>
          <w:sz w:val="24"/>
          <w:szCs w:val="24"/>
          <w:rtl w:val="0"/>
        </w:rPr>
        <w:t xml:space="preserve">«Бережливое управление и клиентоцентричность»</w:t>
      </w:r>
      <w:r w:rsidDel="00000000" w:rsidR="00000000" w:rsidRPr="00000000">
        <w:rPr>
          <w:rFonts w:ascii="Times New Roman" w:cs="Times New Roman" w:eastAsia="Times New Roman" w:hAnsi="Times New Roman"/>
          <w:color w:val="000000"/>
          <w:sz w:val="24"/>
          <w:szCs w:val="24"/>
          <w:rtl w:val="0"/>
        </w:rPr>
        <w:t xml:space="preserve">, проводимого в рамках </w:t>
      </w:r>
      <w:r w:rsidDel="00000000" w:rsidR="00000000" w:rsidRPr="00000000">
        <w:rPr>
          <w:rFonts w:ascii="Times New Roman" w:cs="Times New Roman" w:eastAsia="Times New Roman" w:hAnsi="Times New Roman"/>
          <w:b w:val="1"/>
          <w:color w:val="000000"/>
          <w:sz w:val="24"/>
          <w:szCs w:val="24"/>
          <w:rtl w:val="0"/>
        </w:rPr>
        <w:t xml:space="preserve">XI Международного научного форума Донецкой Народной Республики «Инновационные перспективы Донбасса: инфраструктурное и социально-экономическое развитие»</w:t>
      </w:r>
      <w:r w:rsidDel="00000000" w:rsidR="00000000" w:rsidRPr="00000000">
        <w:rPr>
          <w:rFonts w:ascii="Times New Roman" w:cs="Times New Roman" w:eastAsia="Times New Roman" w:hAnsi="Times New Roman"/>
          <w:color w:val="000000"/>
          <w:sz w:val="24"/>
          <w:szCs w:val="24"/>
          <w:rtl w:val="0"/>
        </w:rPr>
        <w:t xml:space="preserve">, который состоится 23 мая 2025 года на базе Федерального государственного бюджетного образовательного учреждения высшего образования «Донецкая академия управления и государственной службы» (283001, Донецкая Народная Республика, г. Донецк, ул. Челюскинцев, д. 163 А).</w:t>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Цель круглого стола:</w:t>
      </w:r>
      <w:r w:rsidDel="00000000" w:rsidR="00000000" w:rsidRPr="00000000">
        <w:rPr>
          <w:rFonts w:ascii="Times New Roman" w:cs="Times New Roman" w:eastAsia="Times New Roman" w:hAnsi="Times New Roman"/>
          <w:color w:val="000000"/>
          <w:sz w:val="24"/>
          <w:szCs w:val="24"/>
          <w:rtl w:val="0"/>
        </w:rPr>
        <w:t xml:space="preserve"> Работа круглого стола направлена на обсуждение стратегий внедрения принципов бережливого управления и клиентоориентированного подхода в государственном, корпоративном и социальном секторах Донбасса. Его ключевая </w:t>
      </w:r>
      <w:r w:rsidDel="00000000" w:rsidR="00000000" w:rsidRPr="00000000">
        <w:rPr>
          <w:rFonts w:ascii="Times New Roman" w:cs="Times New Roman" w:eastAsia="Times New Roman" w:hAnsi="Times New Roman"/>
          <w:b w:val="1"/>
          <w:i w:val="1"/>
          <w:color w:val="000000"/>
          <w:sz w:val="24"/>
          <w:szCs w:val="24"/>
          <w:rtl w:val="0"/>
        </w:rPr>
        <w:t xml:space="preserve">задача</w:t>
      </w:r>
      <w:r w:rsidDel="00000000" w:rsidR="00000000" w:rsidRPr="00000000">
        <w:rPr>
          <w:rFonts w:ascii="Times New Roman" w:cs="Times New Roman" w:eastAsia="Times New Roman" w:hAnsi="Times New Roman"/>
          <w:color w:val="000000"/>
          <w:sz w:val="24"/>
          <w:szCs w:val="24"/>
          <w:rtl w:val="0"/>
        </w:rPr>
        <w:t xml:space="preserve"> — сформировать практические решения для повышения эффективности управления ресурсами, оптимизации процессов и усиления удовлетворённости граждан и бизнеса как ключевых «клиентов» системы.</w:t>
      </w:r>
    </w:p>
    <w:p w:rsidR="00000000" w:rsidDel="00000000" w:rsidP="00000000" w:rsidRDefault="00000000" w:rsidRPr="00000000" w14:paraId="00000008">
      <w:pPr>
        <w:spacing w:after="0" w:line="240" w:lineRule="auto"/>
        <w:ind w:firstLine="709"/>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ОСНОВНЫЕ ТЕМАТИЧЕСКИЕ НАПРАВЛЕНИЯ КРУГЛОГО СТОЛА</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jc w:val="both"/>
        <w:rPr>
          <w:color w:val="000000"/>
        </w:rPr>
      </w:pPr>
      <w:r w:rsidDel="00000000" w:rsidR="00000000" w:rsidRPr="00000000">
        <w:rPr>
          <w:rFonts w:ascii="Times New Roman" w:cs="Times New Roman" w:eastAsia="Times New Roman" w:hAnsi="Times New Roman"/>
          <w:i w:val="1"/>
          <w:color w:val="000000"/>
          <w:sz w:val="24"/>
          <w:szCs w:val="24"/>
          <w:rtl w:val="0"/>
        </w:rPr>
        <w:t xml:space="preserve">Как методы бережливого производства (минимизация потерь, автоматизация, стандартизация) могут быть адаптированы для социально-экономического развития региона?</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jc w:val="both"/>
        <w:rPr>
          <w:color w:val="000000"/>
        </w:rPr>
      </w:pPr>
      <w:r w:rsidDel="00000000" w:rsidR="00000000" w:rsidRPr="00000000">
        <w:rPr>
          <w:rFonts w:ascii="Times New Roman" w:cs="Times New Roman" w:eastAsia="Times New Roman" w:hAnsi="Times New Roman"/>
          <w:i w:val="1"/>
          <w:color w:val="000000"/>
          <w:sz w:val="24"/>
          <w:szCs w:val="24"/>
          <w:rtl w:val="0"/>
        </w:rPr>
        <w:t xml:space="preserve">Клиентоцентричность в госуправлении: инструменты повышения качества услуг для населения и бизнеса.</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jc w:val="both"/>
        <w:rPr>
          <w:color w:val="000000"/>
        </w:rPr>
      </w:pPr>
      <w:r w:rsidDel="00000000" w:rsidR="00000000" w:rsidRPr="00000000">
        <w:rPr>
          <w:rFonts w:ascii="Times New Roman" w:cs="Times New Roman" w:eastAsia="Times New Roman" w:hAnsi="Times New Roman"/>
          <w:i w:val="1"/>
          <w:color w:val="000000"/>
          <w:sz w:val="24"/>
          <w:szCs w:val="24"/>
          <w:rtl w:val="0"/>
        </w:rPr>
        <w:t xml:space="preserve">Роль цифровых технологий в создании «бережливых» и клиентоориентированных систем (искусственный интеллект, большие данные, CRM-платформы).</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jc w:val="both"/>
        <w:rPr>
          <w:color w:val="000000"/>
        </w:rPr>
      </w:pPr>
      <w:r w:rsidDel="00000000" w:rsidR="00000000" w:rsidRPr="00000000">
        <w:rPr>
          <w:rFonts w:ascii="Times New Roman" w:cs="Times New Roman" w:eastAsia="Times New Roman" w:hAnsi="Times New Roman"/>
          <w:i w:val="1"/>
          <w:color w:val="000000"/>
          <w:sz w:val="24"/>
          <w:szCs w:val="24"/>
          <w:rtl w:val="0"/>
        </w:rPr>
        <w:t xml:space="preserve">Успешные кейсы внедрения Lean-подходов в инфраструктурных проектах ДНР (транспорт, ЖКХ, здравоохранение).</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jc w:val="both"/>
        <w:rPr>
          <w:color w:val="000000"/>
        </w:rPr>
      </w:pPr>
      <w:r w:rsidDel="00000000" w:rsidR="00000000" w:rsidRPr="00000000">
        <w:rPr>
          <w:rFonts w:ascii="Times New Roman" w:cs="Times New Roman" w:eastAsia="Times New Roman" w:hAnsi="Times New Roman"/>
          <w:i w:val="1"/>
          <w:color w:val="000000"/>
          <w:sz w:val="24"/>
          <w:szCs w:val="24"/>
          <w:rtl w:val="0"/>
        </w:rPr>
        <w:t xml:space="preserve">Формирование культуры непрерывных улучшений (Kaizen) в организациях: мотивация сотрудников, обучение, управление изменениями.</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Программа круглого стола и ссылка для подключения будут размещены на сайте ФГБОУ ВО «ДОНАУИГС» (https://donampa.ru), в социальных сетях VKontakte (https://vk.com/donampa), Telegram (https://t.me/DonetskAcademyofManagement).</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Работа круглого стола состоится в смешанном формате: очно с использованием дистанционных технологий.</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Круглый стол является мероприятием XI Международного научного форума Донецкой Народной Республики «Инновационные перспективы Донбасса: инфраструктурное и социально-экономическое развитие» по итогам которого планируется публикация общего меморандума по всем мероприятиям. Материалы будут размещены на сайте www.ipd.donntu.ru.</w:t>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УСЛОВИЯ УЧАСТИЯ В РАБОТЕ КРУГЛОГО СТОЛА</w:t>
      </w:r>
    </w:p>
    <w:p w:rsidR="00000000" w:rsidDel="00000000" w:rsidP="00000000" w:rsidRDefault="00000000" w:rsidRPr="00000000" w14:paraId="00000015">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4"/>
          <w:szCs w:val="24"/>
          <w:rtl w:val="0"/>
        </w:rPr>
        <w:t xml:space="preserve">Для участия необходимо в срок до 12 мая 2025 г. зарегистрироваться и направить материалы на странице круглого стола: </w:t>
      </w:r>
      <w:hyperlink r:id="rId6">
        <w:r w:rsidDel="00000000" w:rsidR="00000000" w:rsidRPr="00000000">
          <w:rPr>
            <w:rFonts w:ascii="Times New Roman" w:cs="Times New Roman" w:eastAsia="Times New Roman" w:hAnsi="Times New Roman"/>
            <w:b w:val="1"/>
            <w:i w:val="1"/>
            <w:color w:val="1155cc"/>
            <w:sz w:val="24"/>
            <w:szCs w:val="24"/>
            <w:u w:val="single"/>
            <w:rtl w:val="0"/>
          </w:rPr>
          <w:t xml:space="preserve">https://lomonosov-msu.ru/rus/event/9716/</w:t>
        </w:r>
      </w:hyperlink>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Срок подачи материалов до 12 мая 2025 года.</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Рабочими языками конференции являются: русский, английский.</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ПЛАН РАБОТЫ КРУГЛОГО СТОЛА</w:t>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мая 2025 г. - 14.00-14.15 - Открытие работы круглого стола в очном и онлайн-режиме (видеотрансляция).</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мая 2025 г. - 14.15-16.00 - Работа круглого стола, подведение итогов и закрытие.</w:t>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Возможны незначительные изменения во времени проведения мероприятий.</w:t>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 участию в работе круглого стола приглашаются работники научных и образовательных учреждений, коммерческих и некоммерческих организаций, органов государственной власти и местного самоуправления, докторанты, аспиранты, соискатели, магистранты, молодые ученые и другие заинтересованные лица.</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Контактная информация:</w:t>
      </w:r>
    </w:p>
    <w:p w:rsidR="00000000" w:rsidDel="00000000" w:rsidP="00000000" w:rsidRDefault="00000000" w:rsidRPr="00000000" w14:paraId="0000002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Телеграм-канал круглого стола: https://t.me/lean_customer_centricity</w:t>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Почта оргкомитета круглого стола: k_imup@donampa.ru</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Вопросы по организации Круглого стола Вы можете задать:</w:t>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(949) 321-97-33 - Морозов Евгений Леонидович (ответственный секретарь)</w:t>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(949) 363-59-73 — Седов Григорий Петрович (технический секретарь)</w:t>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ТРЕБОВАНИЯ К ОФОРМЛЕНИЮ ТЕЗИСОВ</w:t>
      </w:r>
    </w:p>
    <w:p w:rsidR="00000000" w:rsidDel="00000000" w:rsidP="00000000" w:rsidRDefault="00000000" w:rsidRPr="00000000" w14:paraId="0000002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Текст доклада (тезисов) не должен превышать пяти страниц текста формата А4.</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Поля: верхнее, нижнее, левое, правое – 2,0 см.</w:t>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Формат файла – MS Word.</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Шрифт – Times New Roman, 14 pt.</w:t>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Межстрочный интервал – 1.</w:t>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Название доклада – ПРОПИСНЫМИ буквами по центру на русском и английском языках.</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Ниже – фамилия и инициалы автора на русском и английском языках.</w:t>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Следующая строка – учёная степень и учёное звание, должность, место работы на русском и английском языках.</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Через 1 интервал – аннотация на русском и английском языках (3-7 строк).</w:t>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Ключевые слова на русском и английском языках (5-7 слов).</w:t>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Через 1 интервал – текст доклада (тезисов).</w:t>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Оригинальность текста доклада (тезисов) должна составлять не менее 70 % (для проверки текста тезисов на уникальность будет использоваться система «Антиплагиат.ру»).</w:t>
      </w:r>
    </w:p>
    <w:p w:rsidR="00000000" w:rsidDel="00000000" w:rsidP="00000000" w:rsidRDefault="00000000" w:rsidRPr="00000000" w14:paraId="0000003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Авторы несут полную ответственность за содержание предоставляемых к публикации докладов (тезисов).</w:t>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w:t>
      </w:r>
    </w:p>
    <w:p w:rsidR="00000000" w:rsidDel="00000000" w:rsidP="00000000" w:rsidRDefault="00000000" w:rsidRPr="00000000" w14:paraId="0000003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УПРАВЛЕНИЕ РАЗВИТИЕМ ТЕРРИТОРИЙ: СТРАТЕГИЧЕСКИЙ ПОДХОД</w:t>
      </w:r>
    </w:p>
    <w:p w:rsidR="00000000" w:rsidDel="00000000" w:rsidP="00000000" w:rsidRDefault="00000000" w:rsidRPr="00000000" w14:paraId="0000003A">
      <w:pPr>
        <w:spacing w:after="0" w:line="240" w:lineRule="auto"/>
        <w:ind w:left="3969" w:firstLine="0"/>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ИВАНОВ И.И.,</w:t>
      </w:r>
    </w:p>
    <w:p w:rsidR="00000000" w:rsidDel="00000000" w:rsidP="00000000" w:rsidRDefault="00000000" w:rsidRPr="00000000" w14:paraId="0000003B">
      <w:pPr>
        <w:spacing w:after="0" w:line="240" w:lineRule="auto"/>
        <w:ind w:left="3969"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 преподаватель,</w:t>
      </w:r>
    </w:p>
    <w:p w:rsidR="00000000" w:rsidDel="00000000" w:rsidP="00000000" w:rsidRDefault="00000000" w:rsidRPr="00000000" w14:paraId="0000003C">
      <w:pPr>
        <w:spacing w:after="0" w:line="240" w:lineRule="auto"/>
        <w:ind w:left="426"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ФГБОУ ВО «Донецкая академия управления и государственной службы», Донецк, Донецкая Народная Республика, Российская Федерация</w:t>
      </w:r>
    </w:p>
    <w:p w:rsidR="00000000" w:rsidDel="00000000" w:rsidP="00000000" w:rsidRDefault="00000000" w:rsidRPr="00000000" w14:paraId="0000003D">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E">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Аннотация. </w:t>
      </w:r>
      <w:r w:rsidDel="00000000" w:rsidR="00000000" w:rsidRPr="00000000">
        <w:rPr>
          <w:rFonts w:ascii="Times New Roman" w:cs="Times New Roman" w:eastAsia="Times New Roman" w:hAnsi="Times New Roman"/>
          <w:sz w:val="24"/>
          <w:szCs w:val="24"/>
          <w:rtl w:val="0"/>
        </w:rPr>
        <w:t xml:space="preserve">Стратегирование как одна из важнейших функций системы стратегического управления территориальным развитием до настоящего времени остаётся не в полной мере, обеспеченной в методологическом плане. Подтверждением данному утверждению может служить сложившаяся практика разработки и реализации значительного количества различных стратегий как на государственном, так и на территориальном (региональном, муниципальном) или корпоративном уровнях.</w:t>
      </w:r>
    </w:p>
    <w:p w:rsidR="00000000" w:rsidDel="00000000" w:rsidP="00000000" w:rsidRDefault="00000000" w:rsidRPr="00000000" w14:paraId="0000003F">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Ключевые слова: </w:t>
      </w:r>
      <w:r w:rsidDel="00000000" w:rsidR="00000000" w:rsidRPr="00000000">
        <w:rPr>
          <w:rFonts w:ascii="Times New Roman" w:cs="Times New Roman" w:eastAsia="Times New Roman" w:hAnsi="Times New Roman"/>
          <w:sz w:val="24"/>
          <w:szCs w:val="24"/>
          <w:rtl w:val="0"/>
        </w:rPr>
        <w:t xml:space="preserve">экономика, развитие, территория, стратегирование, функция, управление, стратегия.</w:t>
      </w:r>
    </w:p>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TERRITORIAL DEVELOPMENT MANAGEMENT: STRATEGIC APPROACH</w:t>
      </w:r>
    </w:p>
    <w:p w:rsidR="00000000" w:rsidDel="00000000" w:rsidP="00000000" w:rsidRDefault="00000000" w:rsidRPr="00000000" w14:paraId="00000041">
      <w:pPr>
        <w:spacing w:after="0" w:line="24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IVANOV I.I.,</w:t>
      </w:r>
    </w:p>
    <w:p w:rsidR="00000000" w:rsidDel="00000000" w:rsidP="00000000" w:rsidRDefault="00000000" w:rsidRPr="00000000" w14:paraId="00000042">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Senior lecturer,</w:t>
      </w:r>
    </w:p>
    <w:p w:rsidR="00000000" w:rsidDel="00000000" w:rsidP="00000000" w:rsidRDefault="00000000" w:rsidRPr="00000000" w14:paraId="00000043">
      <w:pPr>
        <w:spacing w:after="0" w:line="240" w:lineRule="auto"/>
        <w:ind w:left="709"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FSBEI HE «Donetsk Academy of Management and Public Administration»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Donetsk, Donetsk People's Republic, Russian Federation</w:t>
      </w:r>
    </w:p>
    <w:p w:rsidR="00000000" w:rsidDel="00000000" w:rsidP="00000000" w:rsidRDefault="00000000" w:rsidRPr="00000000" w14:paraId="00000044">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Annotation. </w:t>
      </w:r>
      <w:r w:rsidDel="00000000" w:rsidR="00000000" w:rsidRPr="00000000">
        <w:rPr>
          <w:rFonts w:ascii="Times New Roman" w:cs="Times New Roman" w:eastAsia="Times New Roman" w:hAnsi="Times New Roman"/>
          <w:sz w:val="24"/>
          <w:szCs w:val="24"/>
          <w:rtl w:val="0"/>
        </w:rPr>
        <w:t xml:space="preserve">Strategizing, as one of the most important functions of the system of strategic management of territorial development, still remains not fully provided in methodological terms. This statement can be confirmed by the established practice of developing and implementing a significant number of different strategies both at the state and at the territorial (regional, municipal) or corporate levels.</w:t>
      </w:r>
    </w:p>
    <w:p w:rsidR="00000000" w:rsidDel="00000000" w:rsidP="00000000" w:rsidRDefault="00000000" w:rsidRPr="00000000" w14:paraId="0000004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economy, development, territory, strategizing, function, management, strategy.</w:t>
      </w:r>
    </w:p>
    <w:sectPr>
      <w:pgSz w:h="16840" w:w="11900" w:orient="portrait"/>
      <w:pgMar w:bottom="1134" w:top="1134" w:left="1701" w:right="851" w:header="71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omonosov-msu.ru/rus/event/9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