
<file path=[Content_Types].xml><?xml version="1.0" encoding="utf-8"?>
<Types xmlns="http://schemas.openxmlformats.org/package/2006/content-types">
  <Default ContentType="image/jpeg" Extension="jpg"/>
  <Default ContentType="application/vnd.openxmlformats-officedocument.spreadsheetml.sheet" Extension="xlsx"/>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themeOverride+xml" PartName="/word/theme/themeOverride1.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rPr>
          <w:rFonts w:ascii="Arial Narrow" w:cs="Arial Narrow" w:eastAsia="Arial Narrow" w:hAnsi="Arial Narrow"/>
          <w:sz w:val="28"/>
          <w:szCs w:val="28"/>
        </w:rPr>
      </w:pPr>
      <w:r w:rsidDel="00000000" w:rsidR="00000000" w:rsidRPr="00000000">
        <w:rPr>
          <w:rtl w:val="0"/>
        </w:rPr>
      </w:r>
    </w:p>
    <w:p w:rsidR="00000000" w:rsidDel="00000000" w:rsidP="00000000" w:rsidRDefault="00000000" w:rsidRPr="00000000" w14:paraId="00000002">
      <w:pPr>
        <w:ind w:firstLine="0"/>
        <w:jc w:val="center"/>
        <w:rPr/>
      </w:pPr>
      <w:r w:rsidDel="00000000" w:rsidR="00000000" w:rsidRPr="00000000">
        <w:rPr>
          <w:rFonts w:ascii="Times New Roman" w:cs="Times New Roman" w:eastAsia="Times New Roman" w:hAnsi="Times New Roman"/>
          <w:b w:val="1"/>
          <w:sz w:val="28"/>
          <w:szCs w:val="28"/>
          <w:rtl w:val="0"/>
        </w:rPr>
        <w:t xml:space="preserve">Требования к оформлению статей</w:t>
      </w:r>
      <w:r w:rsidDel="00000000" w:rsidR="00000000" w:rsidRPr="00000000">
        <w:rPr>
          <w:rtl w:val="0"/>
        </w:rPr>
      </w:r>
    </w:p>
    <w:p w:rsidR="00000000" w:rsidDel="00000000" w:rsidP="00000000" w:rsidRDefault="00000000" w:rsidRPr="00000000" w14:paraId="00000003">
      <w:pPr>
        <w:numPr>
          <w:ilvl w:val="0"/>
          <w:numId w:val="1"/>
        </w:numPr>
        <w:pBdr>
          <w:top w:color="000000" w:space="0" w:sz="0" w:val="none"/>
          <w:left w:color="000000" w:space="0" w:sz="0" w:val="none"/>
          <w:bottom w:color="000000" w:space="0" w:sz="0" w:val="none"/>
          <w:right w:color="000000" w:space="0" w:sz="0" w:val="none"/>
          <w:between w:color="000000" w:space="0" w:sz="0" w:val="none"/>
        </w:pBdr>
        <w:spacing w:line="240" w:lineRule="auto"/>
        <w:ind w:left="0"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 опубликованию принимаются статьи, представленные в виде файлов формата </w:t>
      </w:r>
      <w:r w:rsidDel="00000000" w:rsidR="00000000" w:rsidRPr="00000000">
        <w:rPr>
          <w:rFonts w:ascii="Times New Roman" w:cs="Times New Roman" w:eastAsia="Times New Roman" w:hAnsi="Times New Roman"/>
          <w:b w:val="1"/>
          <w:sz w:val="28"/>
          <w:szCs w:val="28"/>
          <w:rtl w:val="0"/>
        </w:rPr>
        <w:t xml:space="preserve">Word (должен использоваться текстовый редактор MicrosoftOfficeWord, шрифт TimesNewRoman)</w:t>
      </w:r>
      <w:r w:rsidDel="00000000" w:rsidR="00000000" w:rsidRPr="00000000">
        <w:rPr>
          <w:rFonts w:ascii="Times New Roman" w:cs="Times New Roman" w:eastAsia="Times New Roman" w:hAnsi="Times New Roman"/>
          <w:sz w:val="28"/>
          <w:szCs w:val="28"/>
          <w:rtl w:val="0"/>
        </w:rPr>
        <w:t xml:space="preserve">. Файлы в формате PDF и TeX не принимаются.</w:t>
      </w:r>
    </w:p>
    <w:p w:rsidR="00000000" w:rsidDel="00000000" w:rsidP="00000000" w:rsidRDefault="00000000" w:rsidRPr="00000000" w14:paraId="00000004">
      <w:pPr>
        <w:numPr>
          <w:ilvl w:val="0"/>
          <w:numId w:val="1"/>
        </w:numPr>
        <w:pBdr>
          <w:top w:color="000000" w:space="0" w:sz="0" w:val="none"/>
          <w:left w:color="000000" w:space="0" w:sz="0" w:val="none"/>
          <w:bottom w:color="000000" w:space="0" w:sz="0" w:val="none"/>
          <w:right w:color="000000" w:space="0" w:sz="0" w:val="none"/>
          <w:between w:color="000000" w:space="0" w:sz="0" w:val="none"/>
        </w:pBdr>
        <w:spacing w:line="240" w:lineRule="auto"/>
        <w:ind w:left="0"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Объем статьи (включая иллюстративный материал, подписи к рисункам, таблицы, список литературы) должен составлять </w:t>
      </w:r>
      <w:r w:rsidDel="00000000" w:rsidR="00000000" w:rsidRPr="00000000">
        <w:rPr>
          <w:rFonts w:ascii="Times New Roman" w:cs="Times New Roman" w:eastAsia="Times New Roman" w:hAnsi="Times New Roman"/>
          <w:b w:val="1"/>
          <w:sz w:val="28"/>
          <w:szCs w:val="28"/>
          <w:rtl w:val="0"/>
        </w:rPr>
        <w:t xml:space="preserve">3-6 страниц</w:t>
      </w:r>
      <w:r w:rsidDel="00000000" w:rsidR="00000000" w:rsidRPr="00000000">
        <w:rPr>
          <w:rFonts w:ascii="Times New Roman" w:cs="Times New Roman" w:eastAsia="Times New Roman" w:hAnsi="Times New Roman"/>
          <w:sz w:val="28"/>
          <w:szCs w:val="28"/>
          <w:rtl w:val="0"/>
        </w:rPr>
        <w:t xml:space="preserve"> печатного текста. Таблицы и рисунки не должны занимать более 20% общего объема статьи. Рекомендуемое количество авторов статьи не должно превышать 3-4.</w:t>
      </w:r>
    </w:p>
    <w:p w:rsidR="00000000" w:rsidDel="00000000" w:rsidP="00000000" w:rsidRDefault="00000000" w:rsidRPr="00000000" w14:paraId="00000005">
      <w:pPr>
        <w:numPr>
          <w:ilvl w:val="0"/>
          <w:numId w:val="1"/>
        </w:numPr>
        <w:pBdr>
          <w:top w:color="000000" w:space="0" w:sz="0" w:val="none"/>
          <w:left w:color="000000" w:space="0" w:sz="0" w:val="none"/>
          <w:bottom w:color="000000" w:space="0" w:sz="0" w:val="none"/>
          <w:right w:color="000000" w:space="0" w:sz="0" w:val="none"/>
          <w:between w:color="000000" w:space="0" w:sz="0" w:val="none"/>
        </w:pBdr>
        <w:spacing w:line="240" w:lineRule="auto"/>
        <w:ind w:left="0" w:firstLine="709"/>
        <w:rPr>
          <w:rFonts w:ascii="Times New Roman" w:cs="Times New Roman" w:eastAsia="Times New Roman" w:hAnsi="Times New Roman"/>
          <w:sz w:val="28"/>
          <w:szCs w:val="28"/>
        </w:rPr>
      </w:pPr>
      <w:bookmarkStart w:colFirst="0" w:colLast="0" w:name="_heading=h.z9ul9o75myos" w:id="0"/>
      <w:bookmarkEnd w:id="0"/>
      <w:r w:rsidDel="00000000" w:rsidR="00000000" w:rsidRPr="00000000">
        <w:rPr>
          <w:rFonts w:ascii="Times New Roman" w:cs="Times New Roman" w:eastAsia="Times New Roman" w:hAnsi="Times New Roman"/>
          <w:sz w:val="28"/>
          <w:szCs w:val="28"/>
          <w:rtl w:val="0"/>
        </w:rPr>
        <w:t xml:space="preserve">Статья должна содержать следующие последовательно расположенные элементы (именно в такой последовательности они должны быть расположены в авторском файле с текстом статьи):</w:t>
      </w:r>
    </w:p>
    <w:p w:rsidR="00000000" w:rsidDel="00000000" w:rsidP="00000000" w:rsidRDefault="00000000" w:rsidRPr="00000000" w14:paraId="00000006">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240" w:lineRule="auto"/>
        <w:ind w:left="0"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индекс универсальной десятичной классификации (УДК);</w:t>
      </w:r>
    </w:p>
    <w:p w:rsidR="00000000" w:rsidDel="00000000" w:rsidP="00000000" w:rsidRDefault="00000000" w:rsidRPr="00000000" w14:paraId="00000007">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240" w:lineRule="auto"/>
        <w:ind w:left="0"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заголовок (название) статьи (на русском языке);</w:t>
      </w:r>
    </w:p>
    <w:p w:rsidR="00000000" w:rsidDel="00000000" w:rsidP="00000000" w:rsidRDefault="00000000" w:rsidRPr="00000000" w14:paraId="00000008">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240" w:lineRule="auto"/>
        <w:ind w:left="0"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фамилии авторов и инициалы (на русском языке);</w:t>
      </w:r>
    </w:p>
    <w:p w:rsidR="00000000" w:rsidDel="00000000" w:rsidP="00000000" w:rsidRDefault="00000000" w:rsidRPr="00000000" w14:paraId="00000009">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240" w:lineRule="auto"/>
        <w:ind w:left="0"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названия учреждений, в которых они обучаются или работают (на русском языке);</w:t>
      </w:r>
    </w:p>
    <w:p w:rsidR="00000000" w:rsidDel="00000000" w:rsidP="00000000" w:rsidRDefault="00000000" w:rsidRPr="00000000" w14:paraId="0000000A">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240" w:lineRule="auto"/>
        <w:ind w:left="0"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текст статьи (на русском языке);</w:t>
      </w:r>
    </w:p>
    <w:p w:rsidR="00000000" w:rsidDel="00000000" w:rsidP="00000000" w:rsidRDefault="00000000" w:rsidRPr="00000000" w14:paraId="0000000B">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240" w:lineRule="auto"/>
        <w:ind w:left="0"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список использованных источников.</w:t>
      </w:r>
    </w:p>
    <w:p w:rsidR="00000000" w:rsidDel="00000000" w:rsidP="00000000" w:rsidRDefault="00000000" w:rsidRPr="00000000" w14:paraId="0000000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Если статья написана на английском языке, то статья должна содержать следующие последовательно расположенные элементы:</w:t>
      </w:r>
    </w:p>
    <w:p w:rsidR="00000000" w:rsidDel="00000000" w:rsidP="00000000" w:rsidRDefault="00000000" w:rsidRPr="00000000" w14:paraId="0000000D">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240" w:lineRule="auto"/>
        <w:ind w:left="0"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индекс универсальной десятичной классификации (УДК);</w:t>
      </w:r>
    </w:p>
    <w:p w:rsidR="00000000" w:rsidDel="00000000" w:rsidP="00000000" w:rsidRDefault="00000000" w:rsidRPr="00000000" w14:paraId="0000000E">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240" w:lineRule="auto"/>
        <w:ind w:left="0"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заголовок (название) статьи (на русском и английском языках);</w:t>
      </w:r>
    </w:p>
    <w:p w:rsidR="00000000" w:rsidDel="00000000" w:rsidP="00000000" w:rsidRDefault="00000000" w:rsidRPr="00000000" w14:paraId="0000000F">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240" w:lineRule="auto"/>
        <w:ind w:left="0"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фамилии авторов и инициалы (на русском и английском языках);</w:t>
      </w:r>
    </w:p>
    <w:p w:rsidR="00000000" w:rsidDel="00000000" w:rsidP="00000000" w:rsidRDefault="00000000" w:rsidRPr="00000000" w14:paraId="00000010">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240" w:lineRule="auto"/>
        <w:ind w:left="0"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названия учреждений, в которых они обучаются или работают (на русском и английском языках);</w:t>
      </w:r>
    </w:p>
    <w:p w:rsidR="00000000" w:rsidDel="00000000" w:rsidP="00000000" w:rsidRDefault="00000000" w:rsidRPr="00000000" w14:paraId="00000011">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240" w:lineRule="auto"/>
        <w:ind w:left="0"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текст статьи (на английском языке);</w:t>
      </w:r>
    </w:p>
    <w:p w:rsidR="00000000" w:rsidDel="00000000" w:rsidP="00000000" w:rsidRDefault="00000000" w:rsidRPr="00000000" w14:paraId="00000012">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240" w:lineRule="auto"/>
        <w:ind w:left="0"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список использованных источников.</w:t>
      </w:r>
    </w:p>
    <w:p w:rsidR="00000000" w:rsidDel="00000000" w:rsidP="00000000" w:rsidRDefault="00000000" w:rsidRPr="00000000" w14:paraId="00000013">
      <w:pPr>
        <w:numPr>
          <w:ilvl w:val="0"/>
          <w:numId w:val="3"/>
        </w:numPr>
        <w:pBdr>
          <w:top w:color="000000" w:space="0" w:sz="0" w:val="none"/>
          <w:left w:color="000000" w:space="0" w:sz="0" w:val="none"/>
          <w:bottom w:color="000000" w:space="0" w:sz="0" w:val="none"/>
          <w:right w:color="000000" w:space="0" w:sz="0" w:val="none"/>
          <w:between w:color="000000" w:space="0" w:sz="0" w:val="none"/>
        </w:pBdr>
        <w:spacing w:line="240" w:lineRule="auto"/>
        <w:ind w:left="0"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Правила оформления статьи.</w:t>
      </w:r>
    </w:p>
    <w:p w:rsidR="00000000" w:rsidDel="00000000" w:rsidP="00000000" w:rsidRDefault="00000000" w:rsidRPr="00000000" w14:paraId="0000001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представленной авторами статьи для форматирования текста не должны использоваться табуляции, принудительные переносы, а также использоваться лишние пробелы. Каждый элемент статьи должен быть отделен от соседних элементов дополнительным межстрочным интервалом.</w:t>
      </w:r>
    </w:p>
    <w:p w:rsidR="00000000" w:rsidDel="00000000" w:rsidP="00000000" w:rsidRDefault="00000000" w:rsidRPr="00000000" w14:paraId="00000015">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Элементы статьи должны быть оформлены в соответствии со следующими требованиями:</w:t>
      </w:r>
    </w:p>
    <w:p w:rsidR="00000000" w:rsidDel="00000000" w:rsidP="00000000" w:rsidRDefault="00000000" w:rsidRPr="00000000" w14:paraId="0000001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4.1. Поля – 2,5 см со всех сторон.</w:t>
      </w:r>
    </w:p>
    <w:p w:rsidR="00000000" w:rsidDel="00000000" w:rsidP="00000000" w:rsidRDefault="00000000" w:rsidRPr="00000000" w14:paraId="00000017">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4.2. Статья начинается с индекса УДК. Размер шрифта – 14 пунктов, полужирный, выравнивание по левому краю.</w:t>
      </w:r>
    </w:p>
    <w:p w:rsidR="00000000" w:rsidDel="00000000" w:rsidP="00000000" w:rsidRDefault="00000000" w:rsidRPr="00000000" w14:paraId="00000018">
      <w:pPr>
        <w:spacing w:line="240" w:lineRule="auto"/>
        <w:rPr>
          <w:rFonts w:ascii="Times New Roman" w:cs="Times New Roman" w:eastAsia="Times New Roman" w:hAnsi="Times New Roman"/>
          <w:sz w:val="28"/>
          <w:szCs w:val="28"/>
        </w:rPr>
      </w:pPr>
      <w:r w:rsidDel="00000000" w:rsidR="00000000" w:rsidRPr="00000000">
        <w:br w:type="page"/>
      </w:r>
      <w:r w:rsidDel="00000000" w:rsidR="00000000" w:rsidRPr="00000000">
        <w:rPr>
          <w:rFonts w:ascii="Times New Roman" w:cs="Times New Roman" w:eastAsia="Times New Roman" w:hAnsi="Times New Roman"/>
          <w:sz w:val="28"/>
          <w:szCs w:val="28"/>
          <w:rtl w:val="0"/>
        </w:rPr>
        <w:t xml:space="preserve">4.3. Заголовок (название) статьи, который пишется полужирным шрифтом размером 14 пунктов прописными буквами, должен четко отражать ее содержание. Не допускается, чтобы заголовок состоял из нескольких предложений. Заголовок статьи также не должен содержать математические и химические формулы, буквы алфавитов отличных от русского и латинского, а также аббревиатур, кроме общеупотребительных.</w:t>
      </w:r>
    </w:p>
    <w:p w:rsidR="00000000" w:rsidDel="00000000" w:rsidP="00000000" w:rsidRDefault="00000000" w:rsidRPr="00000000" w14:paraId="0000001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4.4. Фамилии и инициалы авторов пишут шрифтом размером 14 пунктов, фамилии авторов разделяют запятыми. </w:t>
      </w:r>
    </w:p>
    <w:p w:rsidR="00000000" w:rsidDel="00000000" w:rsidP="00000000" w:rsidRDefault="00000000" w:rsidRPr="00000000" w14:paraId="0000001A">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4.5. Название организации, которую представляет автор, и город пишется 14 шрифтом. Обращаем внимание на то, что эти сведения должны полностью совпадать с информацией, размещенной на официальном сайте организации.</w:t>
      </w:r>
    </w:p>
    <w:p w:rsidR="00000000" w:rsidDel="00000000" w:rsidP="00000000" w:rsidRDefault="00000000" w:rsidRPr="00000000" w14:paraId="0000001B">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Заголовок и список авторов статьи разделяется пустой строкой и выравниваются по центру.</w:t>
      </w:r>
    </w:p>
    <w:p w:rsidR="00000000" w:rsidDel="00000000" w:rsidP="00000000" w:rsidRDefault="00000000" w:rsidRPr="00000000" w14:paraId="0000001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4.6. Текст статьи.</w:t>
      </w:r>
    </w:p>
    <w:p w:rsidR="00000000" w:rsidDel="00000000" w:rsidP="00000000" w:rsidRDefault="00000000" w:rsidRPr="00000000" w14:paraId="0000001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Авторы статей могут придерживаться следующей структуры статьи (без указания разделов в тексте статьи):</w:t>
      </w:r>
    </w:p>
    <w:p w:rsidR="00000000" w:rsidDel="00000000" w:rsidP="00000000" w:rsidRDefault="00000000" w:rsidRPr="00000000" w14:paraId="0000001E">
      <w:pPr>
        <w:numPr>
          <w:ilvl w:val="0"/>
          <w:numId w:val="4"/>
        </w:numPr>
        <w:pBdr>
          <w:top w:color="000000" w:space="0" w:sz="0" w:val="none"/>
          <w:left w:color="000000" w:space="0" w:sz="0" w:val="none"/>
          <w:bottom w:color="000000" w:space="0" w:sz="0" w:val="none"/>
          <w:right w:color="000000" w:space="0" w:sz="0" w:val="none"/>
          <w:between w:color="000000" w:space="0" w:sz="0" w:val="none"/>
        </w:pBdr>
        <w:spacing w:line="240" w:lineRule="auto"/>
        <w:ind w:left="0"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краткое изложение состояния рассматриваемого вопроса и постановка задачи, решаемой в статье (введение);</w:t>
      </w:r>
    </w:p>
    <w:p w:rsidR="00000000" w:rsidDel="00000000" w:rsidP="00000000" w:rsidRDefault="00000000" w:rsidRPr="00000000" w14:paraId="0000001F">
      <w:pPr>
        <w:numPr>
          <w:ilvl w:val="0"/>
          <w:numId w:val="4"/>
        </w:numPr>
        <w:pBdr>
          <w:top w:color="000000" w:space="0" w:sz="0" w:val="none"/>
          <w:left w:color="000000" w:space="0" w:sz="0" w:val="none"/>
          <w:bottom w:color="000000" w:space="0" w:sz="0" w:val="none"/>
          <w:right w:color="000000" w:space="0" w:sz="0" w:val="none"/>
          <w:between w:color="000000" w:space="0" w:sz="0" w:val="none"/>
        </w:pBdr>
        <w:spacing w:line="240" w:lineRule="auto"/>
        <w:ind w:left="0"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материалы и методы решения задачи и принятые допущения;</w:t>
      </w:r>
    </w:p>
    <w:p w:rsidR="00000000" w:rsidDel="00000000" w:rsidP="00000000" w:rsidRDefault="00000000" w:rsidRPr="00000000" w14:paraId="00000020">
      <w:pPr>
        <w:numPr>
          <w:ilvl w:val="0"/>
          <w:numId w:val="4"/>
        </w:numPr>
        <w:pBdr>
          <w:top w:color="000000" w:space="0" w:sz="0" w:val="none"/>
          <w:left w:color="000000" w:space="0" w:sz="0" w:val="none"/>
          <w:bottom w:color="000000" w:space="0" w:sz="0" w:val="none"/>
          <w:right w:color="000000" w:space="0" w:sz="0" w:val="none"/>
          <w:between w:color="000000" w:space="0" w:sz="0" w:val="none"/>
        </w:pBdr>
        <w:spacing w:line="240" w:lineRule="auto"/>
        <w:ind w:left="0"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основное содержание статьи (например: описание физической сущности процессов и явлений, доказательства представленных в статье положений, исходные и конечные математические выражения, математические выкладки и преобразования, эксперименты и расчеты, примеры и иллюстрации);</w:t>
      </w:r>
    </w:p>
    <w:p w:rsidR="00000000" w:rsidDel="00000000" w:rsidP="00000000" w:rsidRDefault="00000000" w:rsidRPr="00000000" w14:paraId="00000021">
      <w:pPr>
        <w:numPr>
          <w:ilvl w:val="0"/>
          <w:numId w:val="4"/>
        </w:numPr>
        <w:pBdr>
          <w:top w:color="000000" w:space="0" w:sz="0" w:val="none"/>
          <w:left w:color="000000" w:space="0" w:sz="0" w:val="none"/>
          <w:bottom w:color="000000" w:space="0" w:sz="0" w:val="none"/>
          <w:right w:color="000000" w:space="0" w:sz="0" w:val="none"/>
          <w:between w:color="000000" w:space="0" w:sz="0" w:val="none"/>
        </w:pBdr>
        <w:spacing w:line="240" w:lineRule="auto"/>
        <w:ind w:left="0"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обсуждение полученных результатов и сопоставление их с ранее опубликованными;</w:t>
      </w:r>
    </w:p>
    <w:p w:rsidR="00000000" w:rsidDel="00000000" w:rsidP="00000000" w:rsidRDefault="00000000" w:rsidRPr="00000000" w14:paraId="00000022">
      <w:pPr>
        <w:numPr>
          <w:ilvl w:val="0"/>
          <w:numId w:val="4"/>
        </w:numPr>
        <w:pBdr>
          <w:top w:color="000000" w:space="0" w:sz="0" w:val="none"/>
          <w:left w:color="000000" w:space="0" w:sz="0" w:val="none"/>
          <w:bottom w:color="000000" w:space="0" w:sz="0" w:val="none"/>
          <w:right w:color="000000" w:space="0" w:sz="0" w:val="none"/>
          <w:between w:color="000000" w:space="0" w:sz="0" w:val="none"/>
        </w:pBdr>
        <w:spacing w:line="240" w:lineRule="auto"/>
        <w:ind w:left="0"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выводы и рекомендации.</w:t>
      </w:r>
    </w:p>
    <w:p w:rsidR="00000000" w:rsidDel="00000000" w:rsidP="00000000" w:rsidRDefault="00000000" w:rsidRPr="00000000" w14:paraId="00000023">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Размер шрифта текста статьи – 14 пунктов, межстрочный интервал – одинарный, абзацный отступ – 1,25 см, выравнивание по ширине страницы.</w:t>
      </w:r>
    </w:p>
    <w:p w:rsidR="00000000" w:rsidDel="00000000" w:rsidP="00000000" w:rsidRDefault="00000000" w:rsidRPr="00000000" w14:paraId="0000002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Встречающиеся в тексте условные обозначения и сокращения должны быть раскрыты при первом упоминании их в тексте.</w:t>
      </w:r>
    </w:p>
    <w:p w:rsidR="00000000" w:rsidDel="00000000" w:rsidP="00000000" w:rsidRDefault="00000000" w:rsidRPr="00000000" w14:paraId="00000025">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Единицы физических величин, используемых в статье, должны входить в Международную систему единиц (СИ). Допускается использование единиц, разрешенных к применению наряду с единицами СИ, а также кратных и дольных единиц.</w:t>
      </w:r>
    </w:p>
    <w:p w:rsidR="00000000" w:rsidDel="00000000" w:rsidP="00000000" w:rsidRDefault="00000000" w:rsidRPr="00000000" w14:paraId="0000002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Все формулы набираются полностью в редакторе формул MathType 6.х с выравниванием по центру страницы. Номера формул проставляются в скобках справа. Не принимаются к изданию тексты статей с формулами, представленными в виде рисунков или наборов символов с вставками элементов MathType.</w:t>
      </w:r>
    </w:p>
    <w:p w:rsidR="00000000" w:rsidDel="00000000" w:rsidP="00000000" w:rsidRDefault="00000000" w:rsidRPr="00000000" w14:paraId="00000027">
      <w:pPr>
        <w:spacing w:line="240" w:lineRule="auto"/>
        <w:ind w:left="0" w:firstLine="708.661417322834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тексте до размещения таблицы или рисунка должна быть обязательно ссылка на рисунок (Рис. 1) или таблицу (Табл. 1).</w:t>
      </w:r>
    </w:p>
    <w:p w:rsidR="00000000" w:rsidDel="00000000" w:rsidP="00000000" w:rsidRDefault="00000000" w:rsidRPr="00000000" w14:paraId="0000002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Таблицы должны располагаться в пределах рабочего поля. Оформление таблицы см. ниже. Таблицы нумеруются в порядке их упоминания в тексте. Информация, представленная в виде диаграмм и графиков, не должна дублироваться в виде таблиц.</w:t>
      </w:r>
    </w:p>
    <w:p w:rsidR="00000000" w:rsidDel="00000000" w:rsidP="00000000" w:rsidRDefault="00000000" w:rsidRPr="00000000" w14:paraId="0000002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Иллюстрации (рисунки, диаграммы, графики, фотографии) размещаются в рамках рабочего поля в тексте статьи, исходя из логики изложения, и нумеруются в порядке их упоминания в тексте. Обтекание рисунка текстом не допускается. Иллюстрации должны быть понятными, а надписи на них соответствовать тексту. Допускается использование рисунков в форматах JPEG, PNG, TIFF. На каждый рисунок должна быть как минимум одна ссылка в тексте.</w:t>
      </w:r>
    </w:p>
    <w:p w:rsidR="00000000" w:rsidDel="00000000" w:rsidP="00000000" w:rsidRDefault="00000000" w:rsidRPr="00000000" w14:paraId="0000002A">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 допускается использование альбомного расположения рисунков и таблиц.</w:t>
      </w:r>
    </w:p>
    <w:p w:rsidR="00000000" w:rsidDel="00000000" w:rsidP="00000000" w:rsidRDefault="00000000" w:rsidRPr="00000000" w14:paraId="0000002B">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4.8. В списке использованных источников литература и прочие ресурсы располагаются в порядке их упоминания в статье. Порядковый номер ссылки указывается в квадратных скобках в соответствующей строке текста статьи. Список использованных источников оформляется в соответствии с ГОСТ Р 7.0.5–2008.</w:t>
      </w:r>
    </w:p>
    <w:p w:rsidR="00000000" w:rsidDel="00000000" w:rsidP="00000000" w:rsidRDefault="00000000" w:rsidRPr="00000000" w14:paraId="0000002C">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E">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Пример оформления статьи</w:t>
      </w:r>
    </w:p>
    <w:p w:rsidR="00000000" w:rsidDel="00000000" w:rsidP="00000000" w:rsidRDefault="00000000" w:rsidRPr="00000000" w14:paraId="0000002F">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0">
      <w:pPr>
        <w:spacing w:line="240" w:lineRule="auto"/>
        <w:ind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УДК 330.322; 004.92</w:t>
      </w:r>
    </w:p>
    <w:p w:rsidR="00000000" w:rsidDel="00000000" w:rsidP="00000000" w:rsidRDefault="00000000" w:rsidRPr="00000000" w14:paraId="00000031">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СОСТОЯНИЕ И ПЕРСПЕКТИВЫ РАЗВИТИЯ ИНВЕСТИЦИЙ</w:t>
      </w:r>
    </w:p>
    <w:p w:rsidR="00000000" w:rsidDel="00000000" w:rsidP="00000000" w:rsidRDefault="00000000" w:rsidRPr="00000000" w14:paraId="00000032">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НА АРТ-РЫНКЕ</w:t>
      </w:r>
    </w:p>
    <w:p w:rsidR="00000000" w:rsidDel="00000000" w:rsidP="00000000" w:rsidRDefault="00000000" w:rsidRPr="00000000" w14:paraId="00000033">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4">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Данилова М.А., Генералова А.В.</w:t>
      </w:r>
    </w:p>
    <w:p w:rsidR="00000000" w:rsidDel="00000000" w:rsidP="00000000" w:rsidRDefault="00000000" w:rsidRPr="00000000" w14:paraId="00000035">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Российский государственный университет им. А.Н. Косыгина (Технологии. Дизайн. Искусство), Москва</w:t>
      </w:r>
    </w:p>
    <w:p w:rsidR="00000000" w:rsidDel="00000000" w:rsidP="00000000" w:rsidRDefault="00000000" w:rsidRPr="00000000" w14:paraId="00000036">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7">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Арт-индустрия не стоит на месте и современные информационные технологии все сильнее занимают в ней лидирующие позиции. Цифровое искусство, некогда являвшееся совершенно новым направлением, теперь становится наиболее привлекательным для покупки и продажи</w:t>
      </w:r>
    </w:p>
    <w:p w:rsidR="00000000" w:rsidDel="00000000" w:rsidP="00000000" w:rsidRDefault="00000000" w:rsidRPr="00000000" w14:paraId="0000003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ХХХХХХХХХХХХХХХХХХХХХХХХХХХХХХХХХХХХХХХХХХХХ</w:t>
      </w:r>
    </w:p>
    <w:p w:rsidR="00000000" w:rsidDel="00000000" w:rsidP="00000000" w:rsidRDefault="00000000" w:rsidRPr="00000000" w14:paraId="00000039">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A">
      <w:pPr>
        <w:spacing w:line="240" w:lineRule="auto"/>
        <w:rPr>
          <w:rFonts w:ascii="Times New Roman" w:cs="Times New Roman" w:eastAsia="Times New Roman" w:hAnsi="Times New Roman"/>
          <w:b w:val="1"/>
          <w:sz w:val="28"/>
          <w:szCs w:val="28"/>
        </w:rPr>
      </w:pPr>
      <w:bookmarkStart w:colFirst="0" w:colLast="0" w:name="_heading=h.reda2z3szlnf" w:id="1"/>
      <w:bookmarkEnd w:id="1"/>
      <w:r w:rsidDel="00000000" w:rsidR="00000000" w:rsidRPr="00000000">
        <w:rPr>
          <w:rFonts w:ascii="Times New Roman" w:cs="Times New Roman" w:eastAsia="Times New Roman" w:hAnsi="Times New Roman"/>
          <w:b w:val="1"/>
          <w:sz w:val="28"/>
          <w:szCs w:val="28"/>
          <w:rtl w:val="0"/>
        </w:rPr>
        <w:t xml:space="preserve">Список использованных источников:</w:t>
      </w:r>
    </w:p>
    <w:p w:rsidR="00000000" w:rsidDel="00000000" w:rsidP="00000000" w:rsidRDefault="00000000" w:rsidRPr="00000000" w14:paraId="0000003B">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Бреусов А.В., Красникова А.С., Бреусов Р.А. Теория менеджмента. – М., 2018. – 76 с.</w:t>
      </w:r>
    </w:p>
    <w:p w:rsidR="00000000" w:rsidDel="00000000" w:rsidP="00000000" w:rsidRDefault="00000000" w:rsidRPr="00000000" w14:paraId="0000003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Зернова Л.Е., Ильина С.И. Анализ различных методик комплексной оценки деятельности корпорации // Инновационные технологии управления и права. – 2012. – No 3 (4). – С. 70-73.</w:t>
      </w:r>
    </w:p>
    <w:p w:rsidR="00000000" w:rsidDel="00000000" w:rsidP="00000000" w:rsidRDefault="00000000" w:rsidRPr="00000000" w14:paraId="0000003D">
      <w:pPr>
        <w:spacing w:lin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Данилова М.А., Генералова А.В., 2025</w:t>
      </w:r>
      <w:r w:rsidDel="00000000" w:rsidR="00000000" w:rsidRPr="00000000">
        <w:rPr>
          <w:rtl w:val="0"/>
        </w:rPr>
      </w:r>
    </w:p>
    <w:p w:rsidR="00000000" w:rsidDel="00000000" w:rsidP="00000000" w:rsidRDefault="00000000" w:rsidRPr="00000000" w14:paraId="0000003E">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F">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0">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1">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2">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44">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Пример оформления таблицы</w:t>
      </w:r>
    </w:p>
    <w:p w:rsidR="00000000" w:rsidDel="00000000" w:rsidP="00000000" w:rsidRDefault="00000000" w:rsidRPr="00000000" w14:paraId="00000045">
      <w:pPr>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6">
      <w:pPr>
        <w:spacing w:line="240" w:lineRule="auto"/>
        <w:ind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Таблица 1 – Обзор понятия «клиентоориентированность»</w:t>
      </w:r>
    </w:p>
    <w:p w:rsidR="00000000" w:rsidDel="00000000" w:rsidP="00000000" w:rsidRDefault="00000000" w:rsidRPr="00000000" w14:paraId="00000047">
      <w:pPr>
        <w:spacing w:line="240" w:lineRule="auto"/>
        <w:ind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6115685" cy="2801047"/>
            <wp:effectExtent b="0" l="0" r="0" t="0"/>
            <wp:docPr descr="Изображение выглядит как текст&#10;&#10;Автоматически созданное описание" id="18" name="image1.png"/>
            <a:graphic>
              <a:graphicData uri="http://schemas.openxmlformats.org/drawingml/2006/picture">
                <pic:pic>
                  <pic:nvPicPr>
                    <pic:cNvPr descr="Изображение выглядит как текст&#10;&#10;Автоматически созданное описание" id="0" name="image1.png"/>
                    <pic:cNvPicPr preferRelativeResize="0"/>
                  </pic:nvPicPr>
                  <pic:blipFill>
                    <a:blip r:embed="rId7"/>
                    <a:srcRect b="0" l="0" r="0" t="986"/>
                    <a:stretch>
                      <a:fillRect/>
                    </a:stretch>
                  </pic:blipFill>
                  <pic:spPr>
                    <a:xfrm>
                      <a:off x="0" y="0"/>
                      <a:ext cx="6115685" cy="2801047"/>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pacing w:line="240" w:lineRule="auto"/>
        <w:ind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Таблица 2 – Анализ эффективности использования средств организации XXX за 2ХХХ-2ХХХ гг</w:t>
      </w:r>
    </w:p>
    <w:tbl>
      <w:tblPr>
        <w:tblStyle w:val="Table1"/>
        <w:tblW w:w="95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98"/>
        <w:gridCol w:w="1439"/>
        <w:gridCol w:w="1483"/>
        <w:gridCol w:w="1474"/>
        <w:tblGridChange w:id="0">
          <w:tblGrid>
            <w:gridCol w:w="5198"/>
            <w:gridCol w:w="1439"/>
            <w:gridCol w:w="1483"/>
            <w:gridCol w:w="1474"/>
          </w:tblGrid>
        </w:tblGridChange>
      </w:tblGrid>
      <w:tr>
        <w:trPr>
          <w:cantSplit w:val="0"/>
          <w:trHeight w:val="189" w:hRule="atLeast"/>
          <w:tblHeader w:val="0"/>
        </w:trPr>
        <w:tc>
          <w:tcPr>
            <w:vMerge w:val="restart"/>
            <w:vAlign w:val="center"/>
          </w:tcPr>
          <w:p w:rsidR="00000000" w:rsidDel="00000000" w:rsidP="00000000" w:rsidRDefault="00000000" w:rsidRPr="00000000" w14:paraId="00000049">
            <w:pPr>
              <w:spacing w:line="240" w:lineRule="auto"/>
              <w:ind w:firstLine="23"/>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Показатель</w:t>
            </w:r>
          </w:p>
        </w:tc>
        <w:tc>
          <w:tcPr>
            <w:gridSpan w:val="2"/>
            <w:vAlign w:val="center"/>
          </w:tcPr>
          <w:p w:rsidR="00000000" w:rsidDel="00000000" w:rsidP="00000000" w:rsidRDefault="00000000" w:rsidRPr="00000000" w14:paraId="0000004A">
            <w:pPr>
              <w:spacing w:line="240" w:lineRule="auto"/>
              <w:ind w:firstLine="23"/>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 состоянию на 01.01.</w:t>
            </w:r>
          </w:p>
        </w:tc>
        <w:tc>
          <w:tcPr>
            <w:vMerge w:val="restart"/>
            <w:vAlign w:val="center"/>
          </w:tcPr>
          <w:p w:rsidR="00000000" w:rsidDel="00000000" w:rsidP="00000000" w:rsidRDefault="00000000" w:rsidRPr="00000000" w14:paraId="0000004C">
            <w:pPr>
              <w:spacing w:line="240" w:lineRule="auto"/>
              <w:ind w:firstLine="23"/>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Отклонение</w:t>
            </w:r>
          </w:p>
          <w:p w:rsidR="00000000" w:rsidDel="00000000" w:rsidP="00000000" w:rsidRDefault="00000000" w:rsidRPr="00000000" w14:paraId="0000004D">
            <w:pPr>
              <w:spacing w:line="240" w:lineRule="auto"/>
              <w:ind w:firstLine="23"/>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2XXX/2XXX</w:t>
            </w:r>
          </w:p>
        </w:tc>
      </w:tr>
      <w:tr>
        <w:trPr>
          <w:cantSplit w:val="0"/>
          <w:trHeight w:val="146" w:hRule="atLeast"/>
          <w:tblHeader w:val="0"/>
        </w:trPr>
        <w:tc>
          <w:tcPr>
            <w:vMerge w:val="continue"/>
            <w:vAlign w:val="center"/>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04F">
            <w:pPr>
              <w:spacing w:line="240" w:lineRule="auto"/>
              <w:ind w:firstLine="23"/>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2XXX г.</w:t>
            </w:r>
          </w:p>
        </w:tc>
        <w:tc>
          <w:tcPr>
            <w:vAlign w:val="center"/>
          </w:tcPr>
          <w:p w:rsidR="00000000" w:rsidDel="00000000" w:rsidP="00000000" w:rsidRDefault="00000000" w:rsidRPr="00000000" w14:paraId="00000050">
            <w:pPr>
              <w:spacing w:line="240" w:lineRule="auto"/>
              <w:ind w:firstLine="23"/>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2XXX г.</w:t>
            </w:r>
          </w:p>
        </w:tc>
        <w:tc>
          <w:tcPr>
            <w:vMerge w:val="continue"/>
            <w:vAlign w:val="center"/>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151" w:hRule="atLeast"/>
          <w:tblHeader w:val="0"/>
        </w:trPr>
        <w:tc>
          <w:tcPr>
            <w:vAlign w:val="center"/>
          </w:tcPr>
          <w:p w:rsidR="00000000" w:rsidDel="00000000" w:rsidP="00000000" w:rsidRDefault="00000000" w:rsidRPr="00000000" w14:paraId="00000052">
            <w:pPr>
              <w:spacing w:line="240" w:lineRule="auto"/>
              <w:ind w:firstLine="23"/>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Фондоотдача, руб.</w:t>
            </w:r>
          </w:p>
        </w:tc>
        <w:tc>
          <w:tcPr>
            <w:vAlign w:val="center"/>
          </w:tcPr>
          <w:p w:rsidR="00000000" w:rsidDel="00000000" w:rsidP="00000000" w:rsidRDefault="00000000" w:rsidRPr="00000000" w14:paraId="00000053">
            <w:pPr>
              <w:spacing w:line="240" w:lineRule="auto"/>
              <w:ind w:firstLine="23"/>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3,678</w:t>
            </w:r>
          </w:p>
        </w:tc>
        <w:tc>
          <w:tcPr>
            <w:vAlign w:val="center"/>
          </w:tcPr>
          <w:p w:rsidR="00000000" w:rsidDel="00000000" w:rsidP="00000000" w:rsidRDefault="00000000" w:rsidRPr="00000000" w14:paraId="00000054">
            <w:pPr>
              <w:spacing w:line="240" w:lineRule="auto"/>
              <w:ind w:firstLine="23"/>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2,873</w:t>
            </w:r>
          </w:p>
        </w:tc>
        <w:tc>
          <w:tcPr>
            <w:vAlign w:val="center"/>
          </w:tcPr>
          <w:p w:rsidR="00000000" w:rsidDel="00000000" w:rsidP="00000000" w:rsidRDefault="00000000" w:rsidRPr="00000000" w14:paraId="00000055">
            <w:pPr>
              <w:spacing w:line="240" w:lineRule="auto"/>
              <w:ind w:firstLine="23"/>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-0,805</w:t>
            </w:r>
          </w:p>
        </w:tc>
      </w:tr>
      <w:tr>
        <w:trPr>
          <w:cantSplit w:val="0"/>
          <w:trHeight w:val="313" w:hRule="atLeast"/>
          <w:tblHeader w:val="0"/>
        </w:trPr>
        <w:tc>
          <w:tcPr>
            <w:vAlign w:val="center"/>
          </w:tcPr>
          <w:p w:rsidR="00000000" w:rsidDel="00000000" w:rsidP="00000000" w:rsidRDefault="00000000" w:rsidRPr="00000000" w14:paraId="00000056">
            <w:pPr>
              <w:spacing w:line="240" w:lineRule="auto"/>
              <w:ind w:firstLine="23"/>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Оборачиваемость краткосрочных активов, об.</w:t>
            </w:r>
          </w:p>
        </w:tc>
        <w:tc>
          <w:tcPr>
            <w:vAlign w:val="center"/>
          </w:tcPr>
          <w:p w:rsidR="00000000" w:rsidDel="00000000" w:rsidP="00000000" w:rsidRDefault="00000000" w:rsidRPr="00000000" w14:paraId="00000057">
            <w:pPr>
              <w:spacing w:line="240" w:lineRule="auto"/>
              <w:ind w:firstLine="23"/>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2,754</w:t>
            </w:r>
          </w:p>
        </w:tc>
        <w:tc>
          <w:tcPr>
            <w:vAlign w:val="center"/>
          </w:tcPr>
          <w:p w:rsidR="00000000" w:rsidDel="00000000" w:rsidP="00000000" w:rsidRDefault="00000000" w:rsidRPr="00000000" w14:paraId="00000058">
            <w:pPr>
              <w:spacing w:line="240" w:lineRule="auto"/>
              <w:ind w:firstLine="23"/>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2,228</w:t>
            </w:r>
          </w:p>
        </w:tc>
        <w:tc>
          <w:tcPr>
            <w:vAlign w:val="center"/>
          </w:tcPr>
          <w:p w:rsidR="00000000" w:rsidDel="00000000" w:rsidP="00000000" w:rsidRDefault="00000000" w:rsidRPr="00000000" w14:paraId="00000059">
            <w:pPr>
              <w:spacing w:line="240" w:lineRule="auto"/>
              <w:ind w:firstLine="23"/>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-0,526</w:t>
            </w:r>
          </w:p>
        </w:tc>
      </w:tr>
      <w:tr>
        <w:trPr>
          <w:cantSplit w:val="0"/>
          <w:trHeight w:val="313" w:hRule="atLeast"/>
          <w:tblHeader w:val="0"/>
        </w:trPr>
        <w:tc>
          <w:tcPr>
            <w:vAlign w:val="center"/>
          </w:tcPr>
          <w:p w:rsidR="00000000" w:rsidDel="00000000" w:rsidP="00000000" w:rsidRDefault="00000000" w:rsidRPr="00000000" w14:paraId="0000005A">
            <w:pPr>
              <w:spacing w:line="240" w:lineRule="auto"/>
              <w:ind w:firstLine="23"/>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Оборачиваемость дебиторской задолженности, об.</w:t>
            </w:r>
          </w:p>
        </w:tc>
        <w:tc>
          <w:tcPr>
            <w:vAlign w:val="center"/>
          </w:tcPr>
          <w:p w:rsidR="00000000" w:rsidDel="00000000" w:rsidP="00000000" w:rsidRDefault="00000000" w:rsidRPr="00000000" w14:paraId="0000005B">
            <w:pPr>
              <w:spacing w:line="240" w:lineRule="auto"/>
              <w:ind w:firstLine="23"/>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5,688</w:t>
            </w:r>
          </w:p>
        </w:tc>
        <w:tc>
          <w:tcPr>
            <w:vAlign w:val="center"/>
          </w:tcPr>
          <w:p w:rsidR="00000000" w:rsidDel="00000000" w:rsidP="00000000" w:rsidRDefault="00000000" w:rsidRPr="00000000" w14:paraId="0000005C">
            <w:pPr>
              <w:spacing w:line="240" w:lineRule="auto"/>
              <w:ind w:firstLine="23"/>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4,689</w:t>
            </w:r>
          </w:p>
        </w:tc>
        <w:tc>
          <w:tcPr>
            <w:vAlign w:val="center"/>
          </w:tcPr>
          <w:p w:rsidR="00000000" w:rsidDel="00000000" w:rsidP="00000000" w:rsidRDefault="00000000" w:rsidRPr="00000000" w14:paraId="0000005D">
            <w:pPr>
              <w:spacing w:line="240" w:lineRule="auto"/>
              <w:ind w:firstLine="23"/>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-0,999</w:t>
            </w:r>
          </w:p>
        </w:tc>
      </w:tr>
      <w:tr>
        <w:trPr>
          <w:cantSplit w:val="0"/>
          <w:trHeight w:val="313" w:hRule="atLeast"/>
          <w:tblHeader w:val="0"/>
        </w:trPr>
        <w:tc>
          <w:tcPr>
            <w:vAlign w:val="center"/>
          </w:tcPr>
          <w:p w:rsidR="00000000" w:rsidDel="00000000" w:rsidP="00000000" w:rsidRDefault="00000000" w:rsidRPr="00000000" w14:paraId="0000005E">
            <w:pPr>
              <w:spacing w:line="240" w:lineRule="auto"/>
              <w:ind w:firstLine="23"/>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Период оборачиваемости дебиторской задолженности, дн.</w:t>
            </w:r>
          </w:p>
        </w:tc>
        <w:tc>
          <w:tcPr>
            <w:vAlign w:val="center"/>
          </w:tcPr>
          <w:p w:rsidR="00000000" w:rsidDel="00000000" w:rsidP="00000000" w:rsidRDefault="00000000" w:rsidRPr="00000000" w14:paraId="0000005F">
            <w:pPr>
              <w:spacing w:line="240" w:lineRule="auto"/>
              <w:ind w:firstLine="23"/>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63</w:t>
            </w:r>
          </w:p>
        </w:tc>
        <w:tc>
          <w:tcPr>
            <w:vAlign w:val="center"/>
          </w:tcPr>
          <w:p w:rsidR="00000000" w:rsidDel="00000000" w:rsidP="00000000" w:rsidRDefault="00000000" w:rsidRPr="00000000" w14:paraId="00000060">
            <w:pPr>
              <w:spacing w:line="240" w:lineRule="auto"/>
              <w:ind w:firstLine="23"/>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77</w:t>
            </w:r>
          </w:p>
        </w:tc>
        <w:tc>
          <w:tcPr>
            <w:vAlign w:val="center"/>
          </w:tcPr>
          <w:p w:rsidR="00000000" w:rsidDel="00000000" w:rsidP="00000000" w:rsidRDefault="00000000" w:rsidRPr="00000000" w14:paraId="00000061">
            <w:pPr>
              <w:spacing w:line="240" w:lineRule="auto"/>
              <w:ind w:firstLine="23"/>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w:t>
            </w:r>
          </w:p>
        </w:tc>
      </w:tr>
      <w:tr>
        <w:trPr>
          <w:cantSplit w:val="0"/>
          <w:trHeight w:val="313" w:hRule="atLeast"/>
          <w:tblHeader w:val="0"/>
        </w:trPr>
        <w:tc>
          <w:tcPr>
            <w:vAlign w:val="center"/>
          </w:tcPr>
          <w:p w:rsidR="00000000" w:rsidDel="00000000" w:rsidP="00000000" w:rsidRDefault="00000000" w:rsidRPr="00000000" w14:paraId="00000062">
            <w:pPr>
              <w:spacing w:line="240" w:lineRule="auto"/>
              <w:ind w:firstLine="23"/>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Оборачиваемость кредиторской задолженности, об.</w:t>
            </w:r>
          </w:p>
        </w:tc>
        <w:tc>
          <w:tcPr>
            <w:vAlign w:val="center"/>
          </w:tcPr>
          <w:p w:rsidR="00000000" w:rsidDel="00000000" w:rsidP="00000000" w:rsidRDefault="00000000" w:rsidRPr="00000000" w14:paraId="00000063">
            <w:pPr>
              <w:spacing w:line="240" w:lineRule="auto"/>
              <w:ind w:firstLine="23"/>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4,105</w:t>
            </w:r>
          </w:p>
        </w:tc>
        <w:tc>
          <w:tcPr>
            <w:vAlign w:val="center"/>
          </w:tcPr>
          <w:p w:rsidR="00000000" w:rsidDel="00000000" w:rsidP="00000000" w:rsidRDefault="00000000" w:rsidRPr="00000000" w14:paraId="00000064">
            <w:pPr>
              <w:spacing w:line="240" w:lineRule="auto"/>
              <w:ind w:firstLine="23"/>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3,485</w:t>
            </w:r>
          </w:p>
        </w:tc>
        <w:tc>
          <w:tcPr>
            <w:vAlign w:val="center"/>
          </w:tcPr>
          <w:p w:rsidR="00000000" w:rsidDel="00000000" w:rsidP="00000000" w:rsidRDefault="00000000" w:rsidRPr="00000000" w14:paraId="00000065">
            <w:pPr>
              <w:spacing w:line="240" w:lineRule="auto"/>
              <w:ind w:firstLine="23"/>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-0,620</w:t>
            </w:r>
          </w:p>
        </w:tc>
      </w:tr>
      <w:tr>
        <w:trPr>
          <w:cantSplit w:val="0"/>
          <w:trHeight w:val="313" w:hRule="atLeast"/>
          <w:tblHeader w:val="0"/>
        </w:trPr>
        <w:tc>
          <w:tcPr>
            <w:vAlign w:val="center"/>
          </w:tcPr>
          <w:p w:rsidR="00000000" w:rsidDel="00000000" w:rsidP="00000000" w:rsidRDefault="00000000" w:rsidRPr="00000000" w14:paraId="00000066">
            <w:pPr>
              <w:spacing w:line="240" w:lineRule="auto"/>
              <w:ind w:firstLine="23"/>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Период оборачиваемости кредиторской задолженности, дн.</w:t>
            </w:r>
          </w:p>
        </w:tc>
        <w:tc>
          <w:tcPr>
            <w:vAlign w:val="center"/>
          </w:tcPr>
          <w:p w:rsidR="00000000" w:rsidDel="00000000" w:rsidP="00000000" w:rsidRDefault="00000000" w:rsidRPr="00000000" w14:paraId="00000067">
            <w:pPr>
              <w:spacing w:line="240" w:lineRule="auto"/>
              <w:ind w:firstLine="23"/>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88</w:t>
            </w:r>
          </w:p>
        </w:tc>
        <w:tc>
          <w:tcPr>
            <w:vAlign w:val="center"/>
          </w:tcPr>
          <w:p w:rsidR="00000000" w:rsidDel="00000000" w:rsidP="00000000" w:rsidRDefault="00000000" w:rsidRPr="00000000" w14:paraId="00000068">
            <w:pPr>
              <w:spacing w:line="240" w:lineRule="auto"/>
              <w:ind w:firstLine="23"/>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103</w:t>
            </w:r>
          </w:p>
        </w:tc>
        <w:tc>
          <w:tcPr>
            <w:vAlign w:val="center"/>
          </w:tcPr>
          <w:p w:rsidR="00000000" w:rsidDel="00000000" w:rsidP="00000000" w:rsidRDefault="00000000" w:rsidRPr="00000000" w14:paraId="00000069">
            <w:pPr>
              <w:spacing w:line="240" w:lineRule="auto"/>
              <w:ind w:firstLine="23"/>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w:t>
            </w:r>
          </w:p>
        </w:tc>
      </w:tr>
      <w:tr>
        <w:trPr>
          <w:cantSplit w:val="0"/>
          <w:trHeight w:val="151" w:hRule="atLeast"/>
          <w:tblHeader w:val="0"/>
        </w:trPr>
        <w:tc>
          <w:tcPr>
            <w:vAlign w:val="center"/>
          </w:tcPr>
          <w:p w:rsidR="00000000" w:rsidDel="00000000" w:rsidP="00000000" w:rsidRDefault="00000000" w:rsidRPr="00000000" w14:paraId="0000006A">
            <w:pPr>
              <w:spacing w:line="240" w:lineRule="auto"/>
              <w:ind w:firstLine="23"/>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Оборачиваемость запасов, об.</w:t>
            </w:r>
          </w:p>
        </w:tc>
        <w:tc>
          <w:tcPr>
            <w:vAlign w:val="center"/>
          </w:tcPr>
          <w:p w:rsidR="00000000" w:rsidDel="00000000" w:rsidP="00000000" w:rsidRDefault="00000000" w:rsidRPr="00000000" w14:paraId="0000006B">
            <w:pPr>
              <w:spacing w:line="240" w:lineRule="auto"/>
              <w:ind w:firstLine="23"/>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4,325</w:t>
            </w:r>
          </w:p>
        </w:tc>
        <w:tc>
          <w:tcPr>
            <w:vAlign w:val="center"/>
          </w:tcPr>
          <w:p w:rsidR="00000000" w:rsidDel="00000000" w:rsidP="00000000" w:rsidRDefault="00000000" w:rsidRPr="00000000" w14:paraId="0000006C">
            <w:pPr>
              <w:spacing w:line="240" w:lineRule="auto"/>
              <w:ind w:firstLine="23"/>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3,427</w:t>
            </w:r>
          </w:p>
        </w:tc>
        <w:tc>
          <w:tcPr>
            <w:vAlign w:val="center"/>
          </w:tcPr>
          <w:p w:rsidR="00000000" w:rsidDel="00000000" w:rsidP="00000000" w:rsidRDefault="00000000" w:rsidRPr="00000000" w14:paraId="0000006D">
            <w:pPr>
              <w:spacing w:line="240" w:lineRule="auto"/>
              <w:ind w:firstLine="23"/>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-0,898</w:t>
            </w:r>
          </w:p>
        </w:tc>
      </w:tr>
      <w:tr>
        <w:trPr>
          <w:cantSplit w:val="0"/>
          <w:trHeight w:val="151" w:hRule="atLeast"/>
          <w:tblHeader w:val="0"/>
        </w:trPr>
        <w:tc>
          <w:tcPr>
            <w:vAlign w:val="center"/>
          </w:tcPr>
          <w:p w:rsidR="00000000" w:rsidDel="00000000" w:rsidP="00000000" w:rsidRDefault="00000000" w:rsidRPr="00000000" w14:paraId="0000006E">
            <w:pPr>
              <w:spacing w:line="240" w:lineRule="auto"/>
              <w:ind w:firstLine="23"/>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Период оборачиваемости запасов, дн.</w:t>
            </w:r>
          </w:p>
        </w:tc>
        <w:tc>
          <w:tcPr>
            <w:vAlign w:val="center"/>
          </w:tcPr>
          <w:p w:rsidR="00000000" w:rsidDel="00000000" w:rsidP="00000000" w:rsidRDefault="00000000" w:rsidRPr="00000000" w14:paraId="0000006F">
            <w:pPr>
              <w:spacing w:line="240" w:lineRule="auto"/>
              <w:ind w:firstLine="23"/>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83</w:t>
            </w:r>
          </w:p>
        </w:tc>
        <w:tc>
          <w:tcPr>
            <w:vAlign w:val="center"/>
          </w:tcPr>
          <w:p w:rsidR="00000000" w:rsidDel="00000000" w:rsidP="00000000" w:rsidRDefault="00000000" w:rsidRPr="00000000" w14:paraId="00000070">
            <w:pPr>
              <w:spacing w:line="240" w:lineRule="auto"/>
              <w:ind w:firstLine="23"/>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w:t>
            </w:r>
          </w:p>
        </w:tc>
        <w:tc>
          <w:tcPr>
            <w:vAlign w:val="center"/>
          </w:tcPr>
          <w:p w:rsidR="00000000" w:rsidDel="00000000" w:rsidP="00000000" w:rsidRDefault="00000000" w:rsidRPr="00000000" w14:paraId="00000071">
            <w:pPr>
              <w:spacing w:line="240" w:lineRule="auto"/>
              <w:ind w:firstLine="23"/>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w:t>
            </w:r>
          </w:p>
        </w:tc>
      </w:tr>
    </w:tbl>
    <w:p w:rsidR="00000000" w:rsidDel="00000000" w:rsidP="00000000" w:rsidRDefault="00000000" w:rsidRPr="00000000" w14:paraId="0000007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3">
      <w:pP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74">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Пример оформления рисунков</w:t>
      </w:r>
    </w:p>
    <w:p w:rsidR="00000000" w:rsidDel="00000000" w:rsidP="00000000" w:rsidRDefault="00000000" w:rsidRPr="00000000" w14:paraId="00000075">
      <w:pPr>
        <w:keepNext w:val="1"/>
        <w:widowControl w:val="0"/>
        <w:ind w:firstLine="0"/>
        <w:rPr/>
      </w:pPr>
      <w:r w:rsidDel="00000000" w:rsidR="00000000" w:rsidRPr="00000000">
        <w:rPr/>
        <w:drawing>
          <wp:inline distB="0" distT="0" distL="0" distR="0">
            <wp:extent cx="5962650" cy="3448050"/>
            <wp:docPr id="17" name=""/>
            <a:graphic>
              <a:graphicData uri="http://schemas.openxmlformats.org/drawingml/2006/chart">
                <c:chart r:id="rId8"/>
              </a:graphicData>
            </a:graphic>
          </wp:inline>
        </w:drawing>
      </w:r>
      <w:r w:rsidDel="00000000" w:rsidR="00000000" w:rsidRPr="00000000">
        <w:rPr>
          <w:rtl w:val="0"/>
        </w:rPr>
      </w:r>
    </w:p>
    <w:p w:rsidR="00000000" w:rsidDel="00000000" w:rsidP="00000000" w:rsidRDefault="00000000" w:rsidRPr="00000000" w14:paraId="00000076">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1 – Сравнение доли банковских депозитов в ВВП в России и США в 1993-2014 гг.</w:t>
      </w:r>
    </w:p>
    <w:p w:rsidR="00000000" w:rsidDel="00000000" w:rsidP="00000000" w:rsidRDefault="00000000" w:rsidRPr="00000000" w14:paraId="00000077">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8">
      <w:pPr>
        <w:spacing w:line="240" w:lineRule="auto"/>
        <w:ind w:firstLine="0"/>
        <w:jc w:val="center"/>
        <w:rPr>
          <w:sz w:val="24"/>
          <w:szCs w:val="24"/>
        </w:rPr>
      </w:pPr>
      <w:r w:rsidDel="00000000" w:rsidR="00000000" w:rsidRPr="00000000">
        <w:rPr/>
        <w:drawing>
          <wp:inline distB="0" distT="0" distL="0" distR="0">
            <wp:extent cx="5778948" cy="2527300"/>
            <wp:docPr id="16" name=""/>
            <a:graphic>
              <a:graphicData uri="http://schemas.openxmlformats.org/drawingml/2006/chart">
                <c:chart r:id="rId9"/>
              </a:graphicData>
            </a:graphic>
          </wp:inline>
        </w:drawing>
      </w:r>
      <w:r w:rsidDel="00000000" w:rsidR="00000000" w:rsidRPr="00000000">
        <w:rPr>
          <w:rtl w:val="0"/>
        </w:rPr>
      </w:r>
    </w:p>
    <w:p w:rsidR="00000000" w:rsidDel="00000000" w:rsidP="00000000" w:rsidRDefault="00000000" w:rsidRPr="00000000" w14:paraId="0000007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 – Динамика показателей системы с отказами при изменении </w:t>
      </w:r>
    </w:p>
    <w:p w:rsidR="00000000" w:rsidDel="00000000" w:rsidP="00000000" w:rsidRDefault="00000000" w:rsidRPr="00000000" w14:paraId="0000007A">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времени обслуживания</w:t>
      </w:r>
    </w:p>
    <w:p w:rsidR="00000000" w:rsidDel="00000000" w:rsidP="00000000" w:rsidRDefault="00000000" w:rsidRPr="00000000" w14:paraId="0000007B">
      <w:pPr>
        <w:spacing w:line="240" w:lineRule="auto"/>
        <w:jc w:val="center"/>
        <w:rPr/>
      </w:pPr>
      <w:r w:rsidDel="00000000" w:rsidR="00000000" w:rsidRPr="00000000">
        <w:rPr>
          <w:rtl w:val="0"/>
        </w:rPr>
      </w:r>
    </w:p>
    <w:sectPr>
      <w:headerReference r:id="rId10" w:type="default"/>
      <w:headerReference r:id="rId11" w:type="first"/>
      <w:headerReference r:id="rId12" w:type="even"/>
      <w:footerReference r:id="rId13" w:type="default"/>
      <w:footerReference r:id="rId14" w:type="first"/>
      <w:footerReference r:id="rId15" w:type="even"/>
      <w:pgSz w:h="16840" w:w="11900" w:orient="portrait"/>
      <w:pgMar w:bottom="1134" w:top="709" w:left="1418" w:right="851" w:header="113" w:footer="141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ambria"/>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70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709"/>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70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70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027626" cy="935549"/>
          <wp:effectExtent b="0" l="0" r="0" t="0"/>
          <wp:docPr descr="D:\Docs\КОНФЕРЕНЦИИ\Экономика\Вектор 2020\unnamed.jpg" id="20" name="image2.jpg"/>
          <a:graphic>
            <a:graphicData uri="http://schemas.openxmlformats.org/drawingml/2006/picture">
              <pic:pic>
                <pic:nvPicPr>
                  <pic:cNvPr descr="D:\Docs\КОНФЕРЕНЦИИ\Экономика\Вектор 2020\unnamed.jpg" id="0" name="image2.jpg"/>
                  <pic:cNvPicPr preferRelativeResize="0"/>
                </pic:nvPicPr>
                <pic:blipFill>
                  <a:blip r:embed="rId1"/>
                  <a:srcRect b="0" l="0" r="0" t="0"/>
                  <a:stretch>
                    <a:fillRect/>
                  </a:stretch>
                </pic:blipFill>
                <pic:spPr>
                  <a:xfrm>
                    <a:off x="0" y="0"/>
                    <a:ext cx="3027626" cy="935549"/>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365f91"/>
        <w:sz w:val="28"/>
        <w:szCs w:val="28"/>
        <w:u w:val="none"/>
        <w:shd w:fill="auto" w:val="clear"/>
        <w:vertAlign w:val="baseline"/>
      </w:rPr>
      <w:drawing>
        <wp:inline distB="0" distT="0" distL="0" distR="0">
          <wp:extent cx="1909856" cy="1149165"/>
          <wp:effectExtent b="0" l="0" r="0" t="0"/>
          <wp:docPr id="19"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1909856" cy="1149165"/>
                  </a:xfrm>
                  <a:prstGeom prst="rect"/>
                  <a:ln/>
                </pic:spPr>
              </pic:pic>
            </a:graphicData>
          </a:graphic>
        </wp:inline>
      </w:drawing>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70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4"/>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ru-RU"/>
      </w:rPr>
    </w:rPrDefault>
    <w:pPrDefault>
      <w:pPr>
        <w:spacing w:line="360" w:lineRule="auto"/>
        <w:ind w:firstLine="709"/>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pPr>
      <w:spacing w:line="360" w:lineRule="auto"/>
      <w:ind w:firstLine="709"/>
      <w:jc w:val="both"/>
    </w:pPr>
    <w:rPr>
      <w:rFonts w:ascii="Calibri" w:cs="Calibri" w:eastAsia="Calibri" w:hAnsi="Calibri"/>
      <w:color w:val="000000"/>
      <w:sz w:val="22"/>
      <w:szCs w:val="22"/>
      <w:u w:color="000000"/>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a3">
    <w:name w:val="Hyperlink"/>
    <w:rPr>
      <w:u w:val="single"/>
    </w:rPr>
  </w:style>
  <w:style w:type="table" w:styleId="TableNormal" w:customStyle="1">
    <w:name w:val="Table Normal"/>
    <w:tblPr>
      <w:tblInd w:w="0.0" w:type="dxa"/>
      <w:tblCellMar>
        <w:top w:w="0.0" w:type="dxa"/>
        <w:left w:w="0.0" w:type="dxa"/>
        <w:bottom w:w="0.0" w:type="dxa"/>
        <w:right w:w="0.0" w:type="dxa"/>
      </w:tblCellMar>
    </w:tblPr>
  </w:style>
  <w:style w:type="paragraph" w:styleId="a4">
    <w:name w:val="header"/>
    <w:pPr>
      <w:tabs>
        <w:tab w:val="center" w:pos="4677"/>
        <w:tab w:val="right" w:pos="9355"/>
      </w:tabs>
      <w:ind w:firstLine="709"/>
      <w:jc w:val="both"/>
    </w:pPr>
    <w:rPr>
      <w:rFonts w:ascii="Calibri" w:cs="Calibri" w:eastAsia="Calibri" w:hAnsi="Calibri"/>
      <w:color w:val="000000"/>
      <w:sz w:val="22"/>
      <w:szCs w:val="22"/>
      <w:u w:color="000000"/>
    </w:rPr>
  </w:style>
  <w:style w:type="paragraph" w:styleId="a5" w:customStyle="1">
    <w:name w:val="Колонтитулы"/>
    <w:pPr>
      <w:tabs>
        <w:tab w:val="right" w:pos="9020"/>
      </w:tabs>
    </w:pPr>
    <w:rPr>
      <w:rFonts w:ascii="Helvetica Neue" w:cs="Arial Unicode MS" w:hAnsi="Helvetica Neue"/>
      <w:color w:val="000000"/>
      <w:sz w:val="24"/>
      <w:szCs w:val="24"/>
      <w14:textOutline w14:cap="flat" w14:cmpd="sng" w14:algn="ctr">
        <w14:noFill/>
        <w14:prstDash w14:val="solid"/>
        <w14:bevel/>
      </w14:textOutline>
    </w:rPr>
  </w:style>
  <w:style w:type="paragraph" w:styleId="a6">
    <w:name w:val="List Paragraph"/>
    <w:pPr>
      <w:spacing w:line="360" w:lineRule="auto"/>
      <w:ind w:left="720" w:firstLine="709"/>
      <w:jc w:val="both"/>
    </w:pPr>
    <w:rPr>
      <w:rFonts w:ascii="Calibri" w:cs="Calibri" w:eastAsia="Calibri" w:hAnsi="Calibri"/>
      <w:color w:val="000000"/>
      <w:sz w:val="22"/>
      <w:szCs w:val="22"/>
      <w:u w:color="000000"/>
    </w:rPr>
  </w:style>
  <w:style w:type="numbering" w:styleId="1" w:customStyle="1">
    <w:name w:val="Импортированный стиль 1"/>
    <w:pPr>
      <w:numPr>
        <w:numId w:val="1"/>
      </w:numPr>
    </w:pPr>
  </w:style>
  <w:style w:type="character" w:styleId="a7" w:customStyle="1">
    <w:name w:val="Ссылка"/>
    <w:rPr>
      <w:color w:val="0000ff"/>
      <w:u w:color="0000ff" w:val="single"/>
      <w:lang w:val="ru-RU"/>
      <w14:textOutline w14:cap="rnd" w14:cmpd="sng" w14:algn="ctr">
        <w14:noFill/>
        <w14:prstDash w14:val="solid"/>
        <w14:bevel/>
      </w14:textOutline>
    </w:rPr>
  </w:style>
  <w:style w:type="paragraph" w:styleId="a8">
    <w:name w:val="Balloon Text"/>
    <w:basedOn w:val="a"/>
    <w:link w:val="a9"/>
    <w:uiPriority w:val="99"/>
    <w:semiHidden w:val="1"/>
    <w:unhideWhenUsed w:val="1"/>
    <w:rsid w:val="00294AB6"/>
    <w:pPr>
      <w:spacing w:line="240" w:lineRule="auto"/>
    </w:pPr>
    <w:rPr>
      <w:rFonts w:ascii="Tahoma" w:cs="Tahoma" w:hAnsi="Tahoma"/>
      <w:sz w:val="16"/>
      <w:szCs w:val="16"/>
    </w:rPr>
  </w:style>
  <w:style w:type="character" w:styleId="a9" w:customStyle="1">
    <w:name w:val="Текст выноски Знак"/>
    <w:basedOn w:val="a0"/>
    <w:link w:val="a8"/>
    <w:uiPriority w:val="99"/>
    <w:semiHidden w:val="1"/>
    <w:rsid w:val="00294AB6"/>
    <w:rPr>
      <w:rFonts w:ascii="Tahoma" w:cs="Tahoma" w:eastAsia="Calibri" w:hAnsi="Tahoma"/>
      <w:color w:val="000000"/>
      <w:sz w:val="16"/>
      <w:szCs w:val="16"/>
      <w:u w:color="000000"/>
    </w:rPr>
  </w:style>
  <w:style w:type="paragraph" w:styleId="aa">
    <w:name w:val="footer"/>
    <w:basedOn w:val="a"/>
    <w:link w:val="ab"/>
    <w:uiPriority w:val="99"/>
    <w:unhideWhenUsed w:val="1"/>
    <w:rsid w:val="00294AB6"/>
    <w:pPr>
      <w:tabs>
        <w:tab w:val="center" w:pos="4677"/>
        <w:tab w:val="right" w:pos="9355"/>
      </w:tabs>
      <w:spacing w:line="240" w:lineRule="auto"/>
    </w:pPr>
  </w:style>
  <w:style w:type="character" w:styleId="ab" w:customStyle="1">
    <w:name w:val="Нижний колонтитул Знак"/>
    <w:basedOn w:val="a0"/>
    <w:link w:val="aa"/>
    <w:uiPriority w:val="99"/>
    <w:rsid w:val="00294AB6"/>
    <w:rPr>
      <w:rFonts w:ascii="Calibri" w:cs="Calibri" w:eastAsia="Calibri" w:hAnsi="Calibri"/>
      <w:color w:val="000000"/>
      <w:sz w:val="22"/>
      <w:szCs w:val="22"/>
      <w:u w:color="000000"/>
    </w:rPr>
  </w:style>
  <w:style w:type="table" w:styleId="ac">
    <w:name w:val="Table Grid"/>
    <w:basedOn w:val="a1"/>
    <w:uiPriority w:val="39"/>
    <w:rsid w:val="00CD3957"/>
    <w:pPr>
      <w:pBdr>
        <w:top w:color="auto" w:space="0" w:sz="0" w:val="none"/>
        <w:left w:color="auto" w:space="0" w:sz="0" w:val="none"/>
        <w:bottom w:color="auto" w:space="0" w:sz="0" w:val="none"/>
        <w:right w:color="auto" w:space="0" w:sz="0" w:val="none"/>
        <w:between w:color="auto" w:space="0" w:sz="0" w:val="none"/>
        <w:bar w:color="auto" w:space="0" w:sz="0" w:val="none"/>
      </w:pBdr>
    </w:pPr>
    <w:rPr>
      <w:rFonts w:asciiTheme="minorHAnsi" w:cstheme="minorBidi" w:eastAsiaTheme="minorHAnsi" w:hAnsiTheme="minorHAnsi"/>
      <w:sz w:val="24"/>
      <w:szCs w:val="24"/>
      <w:bdr w:color="auto" w:space="0" w:sz="0" w:val="none"/>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10" w:customStyle="1">
    <w:name w:val="Сетка таблицы1"/>
    <w:basedOn w:val="a1"/>
    <w:next w:val="ac"/>
    <w:uiPriority w:val="59"/>
    <w:rsid w:val="00F47D75"/>
    <w:pPr>
      <w:pBdr>
        <w:top w:color="auto" w:space="0" w:sz="0" w:val="none"/>
        <w:left w:color="auto" w:space="0" w:sz="0" w:val="none"/>
        <w:bottom w:color="auto" w:space="0" w:sz="0" w:val="none"/>
        <w:right w:color="auto" w:space="0" w:sz="0" w:val="none"/>
        <w:between w:color="auto" w:space="0" w:sz="0" w:val="none"/>
        <w:bar w:color="auto" w:space="0" w:sz="0" w:val="none"/>
      </w:pBdr>
    </w:pPr>
    <w:rPr>
      <w:rFonts w:ascii="Calibri" w:eastAsia="Calibri" w:hAnsi="Calibri"/>
      <w:sz w:val="24"/>
      <w:szCs w:val="24"/>
      <w:bdr w:color="auto" w:space="0" w:sz="0" w:val="none"/>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11" w:customStyle="1">
    <w:name w:val="Неразрешенное упоминание1"/>
    <w:basedOn w:val="a0"/>
    <w:uiPriority w:val="99"/>
    <w:semiHidden w:val="1"/>
    <w:unhideWhenUsed w:val="1"/>
    <w:rsid w:val="00F47D75"/>
    <w:rPr>
      <w:color w:val="605e5c"/>
      <w:shd w:color="auto" w:fill="e1dfdd" w:val="clear"/>
    </w:rPr>
  </w:style>
  <w:style w:type="character" w:styleId="ad">
    <w:name w:val="FollowedHyperlink"/>
    <w:basedOn w:val="a0"/>
    <w:uiPriority w:val="99"/>
    <w:semiHidden w:val="1"/>
    <w:unhideWhenUsed w:val="1"/>
    <w:rsid w:val="00CD788D"/>
    <w:rPr>
      <w:color w:val="ff00ff" w:themeColor="followedHyperlink"/>
      <w:u w:val="single"/>
    </w:rPr>
  </w:style>
  <w:style w:type="paragraph" w:styleId="ae">
    <w:name w:val="caption"/>
    <w:basedOn w:val="a"/>
    <w:next w:val="a"/>
    <w:unhideWhenUsed w:val="1"/>
    <w:qFormat w:val="1"/>
    <w:rsid w:val="00AF4D2E"/>
    <w:pPr>
      <w:pBdr>
        <w:top w:color="auto" w:space="0" w:sz="0" w:val="none"/>
        <w:left w:color="auto" w:space="0" w:sz="0" w:val="none"/>
        <w:bottom w:color="auto" w:space="0" w:sz="0" w:val="none"/>
        <w:right w:color="auto" w:space="0" w:sz="0" w:val="none"/>
        <w:between w:color="auto" w:space="0" w:sz="0" w:val="none"/>
        <w:bar w:color="auto" w:space="0" w:sz="0" w:val="none"/>
      </w:pBdr>
      <w:spacing w:line="240" w:lineRule="auto"/>
      <w:ind w:firstLine="0"/>
      <w:jc w:val="left"/>
    </w:pPr>
    <w:rPr>
      <w:rFonts w:ascii="Times New Roman" w:cs="Times New Roman" w:eastAsia="Times New Roman" w:hAnsi="Times New Roman"/>
      <w:b w:val="1"/>
      <w:bCs w:val="1"/>
      <w:color w:val="auto"/>
      <w:sz w:val="20"/>
      <w:szCs w:val="20"/>
      <w:bdr w:color="auto" w:space="0" w:sz="0" w:val="no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pBdr>
        <w:top w:color="000000" w:space="0" w:sz="0" w:val="none"/>
        <w:left w:color="000000" w:space="0" w:sz="0" w:val="none"/>
        <w:bottom w:color="000000" w:space="0" w:sz="0" w:val="none"/>
        <w:right w:color="000000" w:space="0" w:sz="0" w:val="none"/>
        <w:between w:color="000000" w:space="0" w:sz="0" w:val="none"/>
      </w:pBdr>
    </w:pPr>
    <w:rPr>
      <w:rFonts w:ascii="Helvetica Neue" w:cs="Helvetica Neue" w:eastAsia="Helvetica Neue" w:hAnsi="Helvetica Neue"/>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2.xml"/><Relationship Id="rId13" Type="http://schemas.openxmlformats.org/officeDocument/2006/relationships/footer" Target="foot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chart" Target="charts/chart1.xml"/><Relationship Id="rId15" Type="http://schemas.openxmlformats.org/officeDocument/2006/relationships/footer" Target="footer1.xml"/><Relationship Id="rId14"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chart" Target="charts/chart2.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G:\SMO_Konferentsia.xlsx" TargetMode="External"/></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48381452318457E-2"/>
          <c:y val="5.0925925925925923E-2"/>
          <c:w val="0.88396062992125957"/>
          <c:h val="0.83125692621755609"/>
        </c:manualLayout>
      </c:layout>
      <c:lineChart>
        <c:grouping val="standard"/>
        <c:varyColors val="0"/>
        <c:ser>
          <c:idx val="0"/>
          <c:order val="0"/>
          <c:tx>
            <c:strRef>
              <c:f>'[SMO_Konferentsia.xlsx]Изменение времени обслуживания'!$C$19</c:f>
              <c:strCache>
                <c:ptCount val="1"/>
                <c:pt idx="0">
                  <c:v>Вероятность простоя каналов обслуживания</c:v>
                </c:pt>
              </c:strCache>
            </c:strRef>
          </c:tx>
          <c:spPr>
            <a:ln w="28575" cap="rnd" cmpd="sng" algn="ctr">
              <a:solidFill>
                <a:schemeClr val="accent1">
                  <a:shade val="95000"/>
                  <a:satMod val="104999"/>
                </a:schemeClr>
              </a:solidFill>
              <a:prstDash val="solid"/>
              <a:round/>
            </a:ln>
            <a:effectLst>
              <a:outerShdw blurRad="57150" dist="19050" dir="5400000" algn="ctr" rotWithShape="0">
                <a:srgbClr val="000000">
                  <a:alpha val="63000"/>
                </a:srgbClr>
              </a:outerShdw>
            </a:effectLst>
          </c:spPr>
          <c:marker>
            <c:symbol val="none"/>
          </c:marker>
          <c:dLbls>
            <c:dLbl>
              <c:idx val="0"/>
              <c:layout>
                <c:manualLayout>
                  <c:x val="-4.5606975184439971E-2"/>
                  <c:y val="6.55241935483870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DF0-E64B-91AF-65385C673FCA}"/>
                </c:ext>
              </c:extLst>
            </c:dLbl>
            <c:dLbl>
              <c:idx val="1"/>
              <c:layout>
                <c:manualLayout>
                  <c:x val="-4.560697518444002E-2"/>
                  <c:y val="6.04838709677419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DF0-E64B-91AF-65385C673FCA}"/>
                </c:ext>
              </c:extLst>
            </c:dLbl>
            <c:dLbl>
              <c:idx val="2"/>
              <c:layout>
                <c:manualLayout>
                  <c:x val="-5.9020791415157613E-2"/>
                  <c:y val="-7.05645161290322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DF0-E64B-91AF-65385C673FCA}"/>
                </c:ext>
              </c:extLst>
            </c:dLbl>
            <c:dLbl>
              <c:idx val="3"/>
              <c:layout>
                <c:manualLayout>
                  <c:x val="-8.3165660630449459E-2"/>
                  <c:y val="-4.03225806451612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DF0-E64B-91AF-65385C673FCA}"/>
                </c:ext>
              </c:extLst>
            </c:dLbl>
            <c:dLbl>
              <c:idx val="4"/>
              <c:layout>
                <c:manualLayout>
                  <c:x val="-0.14755197853789412"/>
                  <c:y val="1.1550605813727816E-1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DF0-E64B-91AF-65385C673FCA}"/>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'[SMO_Konferentsia.xlsx]Изменение времени обслуживания'!$D$18:$H$18</c:f>
              <c:numCache>
                <c:formatCode>General</c:formatCode>
                <c:ptCount val="5"/>
                <c:pt idx="0">
                  <c:v>10</c:v>
                </c:pt>
                <c:pt idx="1">
                  <c:v>8</c:v>
                </c:pt>
                <c:pt idx="2">
                  <c:v>6</c:v>
                </c:pt>
                <c:pt idx="3">
                  <c:v>4</c:v>
                </c:pt>
                <c:pt idx="4">
                  <c:v>2</c:v>
                </c:pt>
              </c:numCache>
            </c:numRef>
          </c:cat>
          <c:val>
            <c:numRef>
              <c:f>'[SMO_Konferentsia.xlsx]Изменение времени обслуживания'!$D$19:$H$19</c:f>
              <c:numCache>
                <c:formatCode>0.00</c:formatCode>
                <c:ptCount val="5"/>
                <c:pt idx="0">
                  <c:v>8.5924550818802639E-2</c:v>
                </c:pt>
                <c:pt idx="1">
                  <c:v>0.12859265656552829</c:v>
                </c:pt>
                <c:pt idx="2">
                  <c:v>0.20145720713158519</c:v>
                </c:pt>
                <c:pt idx="3">
                  <c:v>0.33132628685493648</c:v>
                </c:pt>
                <c:pt idx="4" formatCode="0.000">
                  <c:v>0.56897405548550706</c:v>
                </c:pt>
              </c:numCache>
            </c:numRef>
          </c:val>
          <c:smooth val="0"/>
          <c:extLst>
            <c:ext xmlns:c16="http://schemas.microsoft.com/office/drawing/2014/chart" uri="{C3380CC4-5D6E-409C-BE32-E72D297353CC}">
              <c16:uniqueId val="{00000000-5DF0-E64B-91AF-65385C673FCA}"/>
            </c:ext>
          </c:extLst>
        </c:ser>
        <c:ser>
          <c:idx val="1"/>
          <c:order val="1"/>
          <c:tx>
            <c:strRef>
              <c:f>'[SMO_Konferentsia.xlsx]Изменение времени обслуживания'!$C$20</c:f>
              <c:strCache>
                <c:ptCount val="1"/>
                <c:pt idx="0">
                  <c:v>Вероятность отказа в обслуживании</c:v>
                </c:pt>
              </c:strCache>
            </c:strRef>
          </c:tx>
          <c:spPr>
            <a:ln w="28575" cap="rnd" cmpd="sng" algn="ctr">
              <a:solidFill>
                <a:schemeClr val="accent2">
                  <a:shade val="95000"/>
                  <a:satMod val="104999"/>
                </a:schemeClr>
              </a:solidFill>
              <a:prstDash val="solid"/>
              <a:round/>
            </a:ln>
            <a:effectLst>
              <a:outerShdw blurRad="57150" dist="19050" dir="5400000" algn="ctr" rotWithShape="0">
                <a:srgbClr val="000000">
                  <a:alpha val="63000"/>
                </a:srgbClr>
              </a:outerShdw>
            </a:effectLst>
          </c:spPr>
          <c:marker>
            <c:symbol val="none"/>
          </c:marker>
          <c:dLbls>
            <c:dLbl>
              <c:idx val="0"/>
              <c:layout>
                <c:manualLayout>
                  <c:x val="-3.4875922199865864E-2"/>
                  <c:y val="-5.54435483870967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DF0-E64B-91AF-65385C673FCA}"/>
                </c:ext>
              </c:extLst>
            </c:dLbl>
            <c:dLbl>
              <c:idx val="1"/>
              <c:layout>
                <c:manualLayout>
                  <c:x val="-2.9510395707578806E-2"/>
                  <c:y val="-8.56854838709677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F0-E64B-91AF-65385C673FCA}"/>
                </c:ext>
              </c:extLst>
            </c:dLbl>
            <c:dLbl>
              <c:idx val="2"/>
              <c:layout>
                <c:manualLayout>
                  <c:x val="-1.6096579476861168E-2"/>
                  <c:y val="-8.06451612903225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DF0-E64B-91AF-65385C673FCA}"/>
                </c:ext>
              </c:extLst>
            </c:dLbl>
            <c:dLbl>
              <c:idx val="3"/>
              <c:layout>
                <c:manualLayout>
                  <c:x val="-2.6827632461435377E-2"/>
                  <c:y val="-6.04838709677419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DF0-E64B-91AF-65385C673FCA}"/>
                </c:ext>
              </c:extLst>
            </c:dLbl>
            <c:dLbl>
              <c:idx val="4"/>
              <c:layout>
                <c:manualLayout>
                  <c:x val="-4.0241448692152917E-2"/>
                  <c:y val="-6.0483870967741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DF0-E64B-91AF-65385C673FCA}"/>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'[SMO_Konferentsia.xlsx]Изменение времени обслуживания'!$D$18:$H$18</c:f>
              <c:numCache>
                <c:formatCode>General</c:formatCode>
                <c:ptCount val="5"/>
                <c:pt idx="0">
                  <c:v>10</c:v>
                </c:pt>
                <c:pt idx="1">
                  <c:v>8</c:v>
                </c:pt>
                <c:pt idx="2">
                  <c:v>6</c:v>
                </c:pt>
                <c:pt idx="3">
                  <c:v>4</c:v>
                </c:pt>
                <c:pt idx="4">
                  <c:v>2</c:v>
                </c:pt>
              </c:numCache>
            </c:numRef>
          </c:cat>
          <c:val>
            <c:numRef>
              <c:f>'[SMO_Konferentsia.xlsx]Изменение времени обслуживания'!$D$20:$H$20</c:f>
              <c:numCache>
                <c:formatCode>0.00</c:formatCode>
                <c:ptCount val="5"/>
                <c:pt idx="0">
                  <c:v>0.32573095538022945</c:v>
                </c:pt>
                <c:pt idx="1">
                  <c:v>0.24959040857538395</c:v>
                </c:pt>
                <c:pt idx="2">
                  <c:v>7.0107947486821351E-2</c:v>
                </c:pt>
                <c:pt idx="3">
                  <c:v>2.2775887081819872E-2</c:v>
                </c:pt>
                <c:pt idx="4" formatCode="0.000">
                  <c:v>2.4445103954837976E-3</c:v>
                </c:pt>
              </c:numCache>
            </c:numRef>
          </c:val>
          <c:smooth val="0"/>
          <c:extLst>
            <c:ext xmlns:c16="http://schemas.microsoft.com/office/drawing/2014/chart" uri="{C3380CC4-5D6E-409C-BE32-E72D297353CC}">
              <c16:uniqueId val="{00000001-5DF0-E64B-91AF-65385C673FCA}"/>
            </c:ext>
          </c:extLst>
        </c:ser>
        <c:dLbls>
          <c:showLegendKey val="0"/>
          <c:showVal val="0"/>
          <c:showCatName val="0"/>
          <c:showSerName val="0"/>
          <c:showPercent val="0"/>
          <c:showBubbleSize val="0"/>
        </c:dLbls>
        <c:smooth val="0"/>
        <c:axId val="155461504"/>
        <c:axId val="155463040"/>
      </c:lineChart>
      <c:catAx>
        <c:axId val="1554615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crossAx val="155463040"/>
        <c:crosses val="autoZero"/>
        <c:auto val="1"/>
        <c:lblAlgn val="ctr"/>
        <c:lblOffset val="100"/>
        <c:noMultiLvlLbl val="0"/>
      </c:catAx>
      <c:valAx>
        <c:axId val="15546304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crossAx val="155461504"/>
        <c:crosses val="autoZero"/>
        <c:crossBetween val="between"/>
      </c:valAx>
      <c:spPr>
        <a:noFill/>
        <a:ln>
          <a:noFill/>
        </a:ln>
        <a:effectLst/>
      </c:spPr>
    </c:plotArea>
    <c:legend>
      <c:legendPos val="b"/>
      <c:layout>
        <c:manualLayout>
          <c:xMode val="edge"/>
          <c:yMode val="edge"/>
          <c:x val="0.1067707786526684"/>
          <c:y val="9.6063721201516503E-2"/>
          <c:w val="0.58368066491688542"/>
          <c:h val="0.24652887139107615"/>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1200" baseline="0">
          <a:solidFill>
            <a:sysClr val="windowText" lastClr="000000"/>
          </a:solidFill>
          <a:latin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v>Bank deposits to GDP (%) USA</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Data!$E$1:$Z$1</c:f>
              <c:strCache>
                <c:ptCount val="22"/>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strCache>
            </c:strRef>
          </c:cat>
          <c:val>
            <c:numRef>
              <c:f>Data!$E$24165:$Z$24165</c:f>
              <c:numCache>
                <c:formatCode>0</c:formatCode>
                <c:ptCount val="22"/>
                <c:pt idx="0">
                  <c:v>58.749000000000002</c:v>
                </c:pt>
                <c:pt idx="1">
                  <c:v>55.122210000000003</c:v>
                </c:pt>
                <c:pt idx="2">
                  <c:v>54.374450000000003</c:v>
                </c:pt>
                <c:pt idx="3">
                  <c:v>55.275469999999999</c:v>
                </c:pt>
                <c:pt idx="4">
                  <c:v>56.082949999999997</c:v>
                </c:pt>
                <c:pt idx="5">
                  <c:v>57.784860000000002</c:v>
                </c:pt>
                <c:pt idx="6">
                  <c:v>59.345829999999999</c:v>
                </c:pt>
                <c:pt idx="7">
                  <c:v>60.774239999999999</c:v>
                </c:pt>
                <c:pt idx="8">
                  <c:v>63.825099999999999</c:v>
                </c:pt>
                <c:pt idx="9">
                  <c:v>65.114729999999994</c:v>
                </c:pt>
                <c:pt idx="10">
                  <c:v>64.853849999999994</c:v>
                </c:pt>
                <c:pt idx="11">
                  <c:v>63.888159999999999</c:v>
                </c:pt>
                <c:pt idx="12">
                  <c:v>64.171469999999999</c:v>
                </c:pt>
                <c:pt idx="13">
                  <c:v>66.403149999999997</c:v>
                </c:pt>
                <c:pt idx="14">
                  <c:v>70.494420000000005</c:v>
                </c:pt>
                <c:pt idx="15">
                  <c:v>77.872119999999995</c:v>
                </c:pt>
                <c:pt idx="16">
                  <c:v>83.012050000000002</c:v>
                </c:pt>
                <c:pt idx="17">
                  <c:v>80.222300000000004</c:v>
                </c:pt>
                <c:pt idx="18">
                  <c:v>79.063289999999995</c:v>
                </c:pt>
                <c:pt idx="19">
                  <c:v>79.887789999999995</c:v>
                </c:pt>
                <c:pt idx="20">
                  <c:v>80.190989999999999</c:v>
                </c:pt>
                <c:pt idx="21">
                  <c:v>82.876320000000007</c:v>
                </c:pt>
              </c:numCache>
            </c:numRef>
          </c:val>
          <c:extLst>
            <c:ext xmlns:c16="http://schemas.microsoft.com/office/drawing/2014/chart" uri="{C3380CC4-5D6E-409C-BE32-E72D297353CC}">
              <c16:uniqueId val="{00000000-5DCE-45AF-A921-7BC4CA5C76D7}"/>
            </c:ext>
          </c:extLst>
        </c:ser>
        <c:ser>
          <c:idx val="1"/>
          <c:order val="1"/>
          <c:tx>
            <c:v>Bank deposits to GDP (%) RUS</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Data!$E$19105:$Z$19105</c:f>
              <c:numCache>
                <c:formatCode>0</c:formatCode>
                <c:ptCount val="22"/>
                <c:pt idx="0">
                  <c:v>8.2852560000000004</c:v>
                </c:pt>
                <c:pt idx="1">
                  <c:v>9.2915159999999997</c:v>
                </c:pt>
                <c:pt idx="2">
                  <c:v>11.125780000000001</c:v>
                </c:pt>
                <c:pt idx="3">
                  <c:v>11.48236</c:v>
                </c:pt>
                <c:pt idx="4">
                  <c:v>12.516120000000001</c:v>
                </c:pt>
                <c:pt idx="5">
                  <c:v>13.534610000000001</c:v>
                </c:pt>
                <c:pt idx="6">
                  <c:v>12.44407</c:v>
                </c:pt>
                <c:pt idx="7">
                  <c:v>12.51985</c:v>
                </c:pt>
                <c:pt idx="8">
                  <c:v>15.047499999999999</c:v>
                </c:pt>
                <c:pt idx="9">
                  <c:v>16.813649999999999</c:v>
                </c:pt>
                <c:pt idx="10">
                  <c:v>18.44284</c:v>
                </c:pt>
                <c:pt idx="11">
                  <c:v>19.03783</c:v>
                </c:pt>
                <c:pt idx="12">
                  <c:v>20.731120000000001</c:v>
                </c:pt>
                <c:pt idx="13">
                  <c:v>23.410440000000001</c:v>
                </c:pt>
                <c:pt idx="14">
                  <c:v>26.956309999999998</c:v>
                </c:pt>
                <c:pt idx="15">
                  <c:v>28.078990000000001</c:v>
                </c:pt>
                <c:pt idx="16">
                  <c:v>35.685659999999999</c:v>
                </c:pt>
                <c:pt idx="17">
                  <c:v>35.893940000000001</c:v>
                </c:pt>
                <c:pt idx="18">
                  <c:v>37.107779999999998</c:v>
                </c:pt>
                <c:pt idx="19">
                  <c:v>38.540900000000001</c:v>
                </c:pt>
                <c:pt idx="20">
                  <c:v>41.891289999999998</c:v>
                </c:pt>
                <c:pt idx="21">
                  <c:v>45.552639999999997</c:v>
                </c:pt>
              </c:numCache>
            </c:numRef>
          </c:val>
          <c:extLst>
            <c:ext xmlns:c16="http://schemas.microsoft.com/office/drawing/2014/chart" uri="{C3380CC4-5D6E-409C-BE32-E72D297353CC}">
              <c16:uniqueId val="{00000001-5DCE-45AF-A921-7BC4CA5C76D7}"/>
            </c:ext>
          </c:extLst>
        </c:ser>
        <c:dLbls>
          <c:showLegendKey val="0"/>
          <c:showVal val="0"/>
          <c:showCatName val="0"/>
          <c:showSerName val="0"/>
          <c:showPercent val="0"/>
          <c:showBubbleSize val="0"/>
        </c:dLbls>
        <c:gapWidth val="75"/>
        <c:axId val="259626608"/>
        <c:axId val="1"/>
      </c:barChart>
      <c:catAx>
        <c:axId val="259626608"/>
        <c:scaling>
          <c:orientation val="minMax"/>
        </c:scaling>
        <c:delete val="0"/>
        <c:axPos val="b"/>
        <c:numFmt formatCode="General" sourceLinked="1"/>
        <c:majorTickMark val="none"/>
        <c:minorTickMark val="none"/>
        <c:tickLblPos val="nextTo"/>
        <c:crossAx val="1"/>
        <c:crosses val="autoZero"/>
        <c:auto val="1"/>
        <c:lblAlgn val="ctr"/>
        <c:lblOffset val="100"/>
        <c:noMultiLvlLbl val="0"/>
      </c:catAx>
      <c:valAx>
        <c:axId val="1"/>
        <c:scaling>
          <c:orientation val="minMax"/>
        </c:scaling>
        <c:delete val="0"/>
        <c:axPos val="l"/>
        <c:numFmt formatCode="0" sourceLinked="1"/>
        <c:majorTickMark val="none"/>
        <c:minorTickMark val="none"/>
        <c:tickLblPos val="nextTo"/>
        <c:crossAx val="259626608"/>
        <c:crosses val="autoZero"/>
        <c:crossBetween val="between"/>
      </c:valAx>
    </c:plotArea>
    <c:legend>
      <c:legendPos val="b"/>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Тема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Тема Office">
      <a:majorFont>
        <a:latin typeface="Helvetica Neue"/>
        <a:ea typeface="Helvetica Neue"/>
        <a:cs typeface="Helvetica Neue"/>
      </a:majorFont>
      <a:minorFont>
        <a:latin typeface="Helvetica Neue"/>
        <a:ea typeface="Helvetica Neue"/>
        <a:cs typeface="Helvetica Neue"/>
      </a:minorFont>
    </a:fontScheme>
    <a:fmtScheme name="Тема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7VJV9PgHNPoLMWPOjeK66rvcBg==">CgMxLjAyDmguejl1bDlvNzVteW9zMg5oLnJlZGEyejNzemxuZjgAciExUTRXU2ROajdFY2JtbEhVWW54eTU1X0JkdWp5VDZrTGI=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2025-04-02T12:37:00Z</dcterms:created>
  <dc:creator>User</dc:creator>
</cp:coreProperties>
</file>